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00586F0D" w:rsidP="00172C8E" w:rsidRDefault="00586F0D" w14:paraId="4E26A3D6" w14:textId="5C464FA0">
      <w:pPr>
        <w:pStyle w:val="NoSpacing"/>
        <w:jc w:val="center"/>
        <w:rPr>
          <w:b/>
          <w:bCs/>
          <w:sz w:val="48"/>
          <w:szCs w:val="48"/>
        </w:rPr>
      </w:pPr>
      <w:r w:rsidRPr="00586F0D">
        <w:rPr>
          <w:b/>
          <w:bCs/>
          <w:sz w:val="48"/>
          <w:szCs w:val="48"/>
        </w:rPr>
        <w:t xml:space="preserve">Input by civil society to the </w:t>
      </w:r>
    </w:p>
    <w:p w:rsidR="00172C8E" w:rsidP="00172C8E" w:rsidRDefault="00172C8E" w14:paraId="1069919B" w14:textId="7AB679A1">
      <w:pPr>
        <w:pStyle w:val="NoSpacing"/>
        <w:jc w:val="center"/>
        <w:rPr>
          <w:b/>
          <w:bCs/>
          <w:sz w:val="48"/>
          <w:szCs w:val="48"/>
        </w:rPr>
      </w:pPr>
      <w:r>
        <w:rPr>
          <w:b/>
          <w:bCs/>
          <w:sz w:val="48"/>
          <w:szCs w:val="48"/>
        </w:rPr>
        <w:t>2021 EASO Asylum Report</w:t>
      </w:r>
    </w:p>
    <w:p w:rsidR="00172C8E" w:rsidP="00172C8E" w:rsidRDefault="00172C8E" w14:paraId="45650954" w14:textId="5023AE76">
      <w:pPr>
        <w:pStyle w:val="NoSpacing"/>
        <w:jc w:val="center"/>
        <w:rPr>
          <w:rFonts w:ascii="Arial Unicode MS"/>
          <w:color w:val="333333"/>
          <w:w w:val="105"/>
          <w:sz w:val="19"/>
        </w:rPr>
      </w:pPr>
    </w:p>
    <w:p w:rsidR="00172C8E" w:rsidP="00172C8E" w:rsidRDefault="00172C8E" w14:paraId="03E8C1A2" w14:textId="77777777">
      <w:pPr>
        <w:pStyle w:val="NoSpacing"/>
        <w:jc w:val="center"/>
        <w:rPr>
          <w:rFonts w:ascii="Arial Unicode MS"/>
          <w:color w:val="333333"/>
          <w:w w:val="105"/>
          <w:sz w:val="19"/>
        </w:rPr>
      </w:pPr>
    </w:p>
    <w:p w:rsidRPr="00172C8E" w:rsidR="00172C8E" w:rsidP="00172C8E" w:rsidRDefault="00172C8E" w14:paraId="7B9C9EF4" w14:textId="77777777">
      <w:pPr>
        <w:pStyle w:val="NoSpacing"/>
        <w:jc w:val="both"/>
      </w:pPr>
      <w:r w:rsidRPr="00172C8E">
        <w:t>Dear Colleagues,</w:t>
      </w:r>
    </w:p>
    <w:p w:rsidRPr="00172C8E" w:rsidR="00172C8E" w:rsidP="00172C8E" w:rsidRDefault="00172C8E" w14:paraId="428AEAEE" w14:textId="745C96BA">
      <w:pPr>
        <w:pStyle w:val="NoSpacing"/>
        <w:jc w:val="both"/>
      </w:pPr>
      <w:r w:rsidR="68558CC8">
        <w:rPr/>
        <w:t>easo.sharepoint.com/:w:/r/sites/sa/_layouts/15/Doc.aspx?sourcedoc=%7B8B1628CA-ED5D-42B8-BB1B-E090D5FB22E1%7D&amp;file=Norwegian%20Organisation%20for%20Asylum%20Seekers%20-NOAS.docx&amp;action=default&amp;mobileredirect=true</w:t>
      </w:r>
      <w:r>
        <w:br/>
      </w:r>
      <w:r w:rsidR="00172C8E">
        <w:rPr/>
        <w:t>The production of the </w:t>
      </w:r>
      <w:r w:rsidRPr="381D26DA" w:rsidR="00172C8E">
        <w:rPr>
          <w:i w:val="1"/>
          <w:iCs w:val="1"/>
        </w:rPr>
        <w:t>EASO Asylum Report 2021</w:t>
      </w:r>
      <w:r w:rsidR="00172C8E">
        <w:rPr/>
        <w:t> is currently underway. The annual </w:t>
      </w:r>
      <w:hyperlink r:id="R5c21e1ef9d3d4d52">
        <w:r w:rsidRPr="381D26DA" w:rsidR="00172C8E">
          <w:rPr>
            <w:rStyle w:val="Hyperlink"/>
          </w:rPr>
          <w:t>Asylum Report series</w:t>
        </w:r>
      </w:hyperlink>
      <w:r w:rsidR="00172C8E">
        <w:rPr/>
        <w:t> present a comprehensive overview of developments in the field of asylum at the regional and national levels. </w:t>
      </w:r>
    </w:p>
    <w:p w:rsidRPr="00172C8E" w:rsidR="00172C8E" w:rsidP="00172C8E" w:rsidRDefault="00172C8E" w14:paraId="666382B4" w14:textId="77777777">
      <w:pPr>
        <w:pStyle w:val="NoSpacing"/>
        <w:jc w:val="both"/>
      </w:pPr>
      <w:r w:rsidRPr="00172C8E">
        <w:br/>
      </w:r>
      <w:r w:rsidRPr="00172C8E">
        <w:t>The report includes information and perspectives from various stakeholders, including experts from EU+ countries, civil society organisations, UNHCR and researchers. To this end, we invite you, our partners from civil society, academia and research institutions, to share with us your reporting on developments in asylum law, policy or practice in 2020 (and early 2021) by topic as presented in the online survey.</w:t>
      </w:r>
    </w:p>
    <w:p w:rsidRPr="00172C8E" w:rsidR="00172C8E" w:rsidP="00172C8E" w:rsidRDefault="00172C8E" w14:paraId="129A0FDB" w14:textId="77777777">
      <w:pPr>
        <w:pStyle w:val="NoSpacing"/>
        <w:jc w:val="both"/>
      </w:pPr>
      <w:r w:rsidRPr="00172C8E">
        <w:br/>
      </w:r>
      <w:r w:rsidRPr="00172C8E">
        <w:t>Please note that the EASO Asylum Report does not seek to describe national systems in detail but rather to present key developments of the past year, including improvements and challenges which remain. Your input can cover practices of a specific EU+ country or the EU as a whole. You can complete all or only some of the sections.</w:t>
      </w:r>
    </w:p>
    <w:p w:rsidRPr="00172C8E" w:rsidR="00172C8E" w:rsidP="00172C8E" w:rsidRDefault="00172C8E" w14:paraId="3B5EFD94" w14:textId="77777777">
      <w:pPr>
        <w:pStyle w:val="NoSpacing"/>
        <w:jc w:val="both"/>
      </w:pPr>
      <w:r w:rsidRPr="00172C8E">
        <w:br/>
      </w:r>
      <w:r w:rsidRPr="00172C8E">
        <w:t>All submissions are publicly accessible. For transparency, 2021 contributions will be published on the EASO webpage. Contributions to the 2020 EASO Asylum Report by civil society organisations can be accessed </w:t>
      </w:r>
      <w:hyperlink w:tgtFrame="_blank" w:history="1" r:id="rId9">
        <w:r w:rsidRPr="00172C8E">
          <w:rPr>
            <w:rStyle w:val="Hyperlink"/>
          </w:rPr>
          <w:t>here</w:t>
        </w:r>
      </w:hyperlink>
      <w:r w:rsidRPr="00172C8E">
        <w:t>, under 'Acknowledgements'. All contributions should be appropriately referenced. You may include links to supporting material, such as analytical studies, articles, reports, websites, press releases or position papers. If your organisation does not produce any publications, please make reference to other published materials, such as joint statements issued with other organisations. Some sources of information may be in a language other than English. In this case, please cite the original language and, if possible, provide one to two sentences describing the key messages in English.</w:t>
      </w:r>
    </w:p>
    <w:p w:rsidRPr="00172C8E" w:rsidR="00172C8E" w:rsidP="00172C8E" w:rsidRDefault="00172C8E" w14:paraId="4632F95F" w14:textId="77777777">
      <w:pPr>
        <w:pStyle w:val="NoSpacing"/>
        <w:jc w:val="both"/>
      </w:pPr>
      <w:r w:rsidRPr="00172C8E">
        <w:br/>
      </w:r>
      <w:r w:rsidRPr="00172C8E">
        <w:t>The content of the EASO Asylum Report is subject to terms of reference and volume limitations. Contributions from civil society organisations feed into EASO’s work in multiple ways and inform reports and analyses beyond the Asylum Report. </w:t>
      </w:r>
    </w:p>
    <w:p w:rsidRPr="00172C8E" w:rsidR="00172C8E" w:rsidP="00172C8E" w:rsidRDefault="00172C8E" w14:paraId="2C958CDA" w14:textId="77777777">
      <w:pPr>
        <w:pStyle w:val="NoSpacing"/>
        <w:jc w:val="both"/>
      </w:pPr>
      <w:r w:rsidRPr="00172C8E">
        <w:br/>
      </w:r>
      <w:r w:rsidRPr="00172C8E">
        <w:t>Your input matters to us and will be much appreciated!</w:t>
      </w:r>
    </w:p>
    <w:p w:rsidRPr="00172C8E" w:rsidR="00172C8E" w:rsidP="00172C8E" w:rsidRDefault="00172C8E" w14:paraId="00494AC9" w14:textId="77777777">
      <w:pPr>
        <w:pStyle w:val="NoSpacing"/>
        <w:jc w:val="both"/>
        <w:rPr>
          <w:i/>
          <w:iCs/>
        </w:rPr>
      </w:pPr>
      <w:r w:rsidRPr="00172C8E">
        <w:br/>
      </w:r>
      <w:r w:rsidRPr="00172C8E">
        <w:rPr>
          <w:b/>
          <w:bCs/>
        </w:rPr>
        <w:t xml:space="preserve">Nina </w:t>
      </w:r>
      <w:proofErr w:type="spellStart"/>
      <w:r w:rsidRPr="00172C8E">
        <w:rPr>
          <w:b/>
          <w:bCs/>
        </w:rPr>
        <w:t>Gregori</w:t>
      </w:r>
      <w:proofErr w:type="spellEnd"/>
      <w:r w:rsidRPr="00172C8E">
        <w:t> -</w:t>
      </w:r>
      <w:r w:rsidRPr="00172C8E">
        <w:rPr>
          <w:i/>
          <w:iCs/>
        </w:rPr>
        <w:t>EASO Executive Director</w:t>
      </w:r>
    </w:p>
    <w:p w:rsidR="00172C8E" w:rsidP="00172C8E" w:rsidRDefault="00172C8E" w14:paraId="267524AB" w14:textId="77777777">
      <w:pPr>
        <w:pStyle w:val="NoSpacing"/>
        <w:jc w:val="both"/>
        <w:rPr>
          <w:b/>
          <w:bCs/>
        </w:rPr>
      </w:pPr>
    </w:p>
    <w:p w:rsidRPr="00172C8E" w:rsidR="00172C8E" w:rsidP="00172C8E" w:rsidRDefault="00172C8E" w14:paraId="16C6AE5B" w14:textId="11A9497E">
      <w:pPr>
        <w:pStyle w:val="NoSpacing"/>
        <w:jc w:val="both"/>
      </w:pPr>
      <w:r w:rsidRPr="00172C8E">
        <w:rPr>
          <w:b/>
          <w:bCs/>
        </w:rPr>
        <w:br/>
      </w:r>
      <w:r w:rsidRPr="00172C8E">
        <w:rPr>
          <w:b/>
          <w:bCs/>
        </w:rPr>
        <w:t>*</w:t>
      </w:r>
      <w:r w:rsidRPr="00172C8E">
        <w:t>Please complete the online survey and submit your contribution to the 2021 EASO Asylum Report by </w:t>
      </w:r>
      <w:r w:rsidRPr="00172C8E">
        <w:rPr>
          <w:b/>
          <w:bCs/>
          <w:color w:val="FF0000"/>
        </w:rPr>
        <w:t xml:space="preserve">Thursday, 25 February </w:t>
      </w:r>
      <w:proofErr w:type="gramStart"/>
      <w:r w:rsidRPr="00172C8E">
        <w:rPr>
          <w:b/>
          <w:bCs/>
          <w:color w:val="FF0000"/>
        </w:rPr>
        <w:t>2021</w:t>
      </w:r>
      <w:r w:rsidRPr="00172C8E">
        <w:rPr>
          <w:b/>
          <w:bCs/>
        </w:rPr>
        <w:t>.*</w:t>
      </w:r>
      <w:proofErr w:type="gramEnd"/>
    </w:p>
    <w:p w:rsidRPr="00172C8E" w:rsidR="00586F0D" w:rsidP="00586F0D" w:rsidRDefault="00586F0D" w14:paraId="7EB88CF3" w14:textId="13591263">
      <w:pPr>
        <w:pStyle w:val="NoSpacing"/>
      </w:pPr>
    </w:p>
    <w:p w:rsidR="00172C8E" w:rsidP="00586F0D" w:rsidRDefault="00172C8E" w14:paraId="5B230BB9" w14:textId="6A85950A">
      <w:pPr>
        <w:pStyle w:val="NoSpacing"/>
      </w:pPr>
    </w:p>
    <w:p w:rsidR="00172C8E" w:rsidP="00586F0D" w:rsidRDefault="00172C8E" w14:paraId="21B3A2DC" w14:textId="037B9FED">
      <w:pPr>
        <w:pStyle w:val="NoSpacing"/>
      </w:pPr>
    </w:p>
    <w:p w:rsidR="00172C8E" w:rsidP="00586F0D" w:rsidRDefault="00172C8E" w14:paraId="38B2FDF2" w14:textId="45C50541">
      <w:pPr>
        <w:pStyle w:val="NoSpacing"/>
      </w:pPr>
    </w:p>
    <w:p w:rsidR="00172C8E" w:rsidP="00586F0D" w:rsidRDefault="00172C8E" w14:paraId="32676E5F" w14:textId="45021199">
      <w:pPr>
        <w:pStyle w:val="NoSpacing"/>
      </w:pPr>
    </w:p>
    <w:p w:rsidR="00172C8E" w:rsidP="00586F0D" w:rsidRDefault="00172C8E" w14:paraId="7B69E150" w14:textId="27F5A5E3">
      <w:pPr>
        <w:pStyle w:val="NoSpacing"/>
      </w:pPr>
    </w:p>
    <w:p w:rsidR="00172C8E" w:rsidP="00586F0D" w:rsidRDefault="00172C8E" w14:paraId="15E9B7A1" w14:textId="42365DE0">
      <w:pPr>
        <w:pStyle w:val="NoSpacing"/>
      </w:pPr>
    </w:p>
    <w:p w:rsidR="00172C8E" w:rsidP="00586F0D" w:rsidRDefault="00172C8E" w14:paraId="3ABC31AB" w14:textId="60CA380C">
      <w:pPr>
        <w:pStyle w:val="NoSpacing"/>
      </w:pPr>
    </w:p>
    <w:p w:rsidR="00586F0D" w:rsidP="00586F0D" w:rsidRDefault="00586F0D" w14:paraId="01CC088F" w14:textId="0B710469">
      <w:pPr>
        <w:pStyle w:val="NoSpacing"/>
      </w:pPr>
    </w:p>
    <w:p w:rsidR="00586F0D" w:rsidP="00586F0D" w:rsidRDefault="00586F0D" w14:paraId="7A5E17B2" w14:textId="581BCBE1">
      <w:pPr>
        <w:pStyle w:val="Heading1"/>
      </w:pPr>
      <w:r>
        <w:rPr>
          <w:noProof/>
          <w:lang w:val="nb-NO" w:eastAsia="nb-NO"/>
        </w:rPr>
        <mc:AlternateContent>
          <mc:Choice Requires="wps">
            <w:drawing>
              <wp:anchor distT="0" distB="0" distL="114300" distR="114300" simplePos="0" relativeHeight="251659264" behindDoc="0" locked="0" layoutInCell="1" allowOverlap="1" wp14:anchorId="03915B09" wp14:editId="3DC560B5">
                <wp:simplePos x="0" y="0"/>
                <wp:positionH relativeFrom="page">
                  <wp:posOffset>695325</wp:posOffset>
                </wp:positionH>
                <wp:positionV relativeFrom="paragraph">
                  <wp:posOffset>327660</wp:posOffset>
                </wp:positionV>
                <wp:extent cx="6381750" cy="0"/>
                <wp:effectExtent l="9525" t="14605"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FEB121C">
              <v:line id="Straight Connector 1"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pt" to="557.25pt,25.8pt" w14:anchorId="3C31B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9rHgIAADcEAAAOAAAAZHJzL2Uyb0RvYy54bWysU02P0zAQvSPxH6zcu0m6obRR0xVKWi4L&#10;W6nLD3Btp7FwPJbtNq0Q/52x+wGFC0JcHI9n/PLmzfP86dgrchDWSdBVkj9kCRGaAZd6VyVfXlej&#10;aUKcp5pTBVpUyUm45Gnx9s18MKUYQweKC0sQRLtyMFXSeW/KNHWsEz11D2CExmQLtqceQ7tLuaUD&#10;ovcqHWfZJB3AcmOBCefwtDknk0XEb1vB/EvbOuGJqhLk5uNq47oNa7qY03Jnqekku9Cg/8Cip1Lj&#10;T29QDfWU7K38A6qXzIKD1j8w6FNoW8lE7AG7ybPfutl01IjYC4rjzE0m9/9g2efD2hLJcXYJ0bTH&#10;EW28pXLXeVKD1iggWJIHnQbjSiyv9dqGTtlRb8wzsK+OaKg7qnci8n09GQSJN9K7KyFwBv+2HT4B&#10;xxq69xBFO7a2D5AoBznG2ZxusxFHTxgeTh6n+ft3OEJ2zaW0vF401vmPAnoSNlWipA6y0ZIenp1H&#10;6lh6LQnHGlZSqTh6pcmAbGcZQoeUAyV5yMbA7ra1suRAg3uyYjmbBiEQ7a7Mwl7ziNYJypeXvadS&#10;nfdYr3TAw16Qz2V3tse3WTZbTpfTYlSMJ8tRkTXN6MOqLkaTFbbbPDZ13eTfA7W8KDvJudCB3dWq&#10;efF3Vrg8mrPJbma96ZDeo8cWkez1G0nHYYb5nZ2wBX5a26BGmCu6MxZfXlKw/69xrPr53hc/AAAA&#10;//8DAFBLAwQUAAYACAAAACEA8ghT2dsAAAAKAQAADwAAAGRycy9kb3ducmV2LnhtbEyPQUvEMBCF&#10;74L/IYzgzU0qtri16SLCgifRKp6nzWxbbCbdJtvWf28WD3p8bz7evFfsVjuImSbfO9aQbBQI4saZ&#10;nlsNH+/7m3sQPiAbHByThm/ysCsvLwrMjVv4jeYqtCKGsM9RQxfCmEvpm44s+o0biePt4CaLIcqp&#10;lWbCJYbbQd4qlUmLPccPHY701FHzVZ2sBnvssd4v6cvntpJHr7I5PL8etL6+Wh8fQARawx8M5/qx&#10;OpSxU+1ObLwYolbbNKIa0iQDcQaS5C469a8jy0L+n1D+AAAA//8DAFBLAQItABQABgAIAAAAIQC2&#10;gziS/gAAAOEBAAATAAAAAAAAAAAAAAAAAAAAAABbQ29udGVudF9UeXBlc10ueG1sUEsBAi0AFAAG&#10;AAgAAAAhADj9If/WAAAAlAEAAAsAAAAAAAAAAAAAAAAALwEAAF9yZWxzLy5yZWxzUEsBAi0AFAAG&#10;AAgAAAAhAF/jv2seAgAANwQAAA4AAAAAAAAAAAAAAAAALgIAAGRycy9lMm9Eb2MueG1sUEsBAi0A&#10;FAAGAAgAAAAhAPIIU9nbAAAACgEAAA8AAAAAAAAAAAAAAAAAeAQAAGRycy9kb3ducmV2LnhtbFBL&#10;BQYAAAAABAAEAPMAAACABQAAAAA=&#10;">
                <w10:wrap anchorx="page"/>
              </v:line>
            </w:pict>
          </mc:Fallback>
        </mc:AlternateContent>
      </w:r>
      <w:r>
        <w:rPr>
          <w:color w:val="004E98"/>
        </w:rPr>
        <w:t>Instructions</w:t>
      </w:r>
    </w:p>
    <w:p w:rsidR="00586F0D" w:rsidP="00586F0D" w:rsidRDefault="00586F0D" w14:paraId="09C2D4F1" w14:textId="126FCCC7">
      <w:pPr>
        <w:pStyle w:val="NoSpacing"/>
      </w:pPr>
    </w:p>
    <w:p w:rsidR="00586F0D" w:rsidP="00586F0D" w:rsidRDefault="00586F0D" w14:paraId="1FB9656E" w14:textId="5A2220A3">
      <w:pPr>
        <w:pStyle w:val="NoSpacing"/>
        <w:jc w:val="both"/>
      </w:pPr>
      <w:r>
        <w:t>Before completing the survey, please review the list of topics and types of information that should be included in your submission.</w:t>
      </w:r>
    </w:p>
    <w:p w:rsidR="00586F0D" w:rsidP="00586F0D" w:rsidRDefault="00586F0D" w14:paraId="2674F618" w14:textId="77777777">
      <w:pPr>
        <w:pStyle w:val="NoSpacing"/>
        <w:jc w:val="both"/>
      </w:pPr>
      <w:r>
        <w:t xml:space="preserve"> </w:t>
      </w:r>
    </w:p>
    <w:p w:rsidR="00586F0D" w:rsidP="00586F0D" w:rsidRDefault="00586F0D" w14:paraId="6083384E" w14:textId="770C68F1">
      <w:pPr>
        <w:pStyle w:val="NoSpacing"/>
        <w:jc w:val="both"/>
      </w:pPr>
      <w:r>
        <w:t xml:space="preserve">For each response, </w:t>
      </w:r>
      <w:r w:rsidRPr="00172C8E">
        <w:rPr>
          <w:u w:val="single"/>
        </w:rPr>
        <w:t>only</w:t>
      </w:r>
      <w:r>
        <w:t xml:space="preserve"> include the following type of information:</w:t>
      </w:r>
    </w:p>
    <w:p w:rsidR="00586F0D" w:rsidP="00586F0D" w:rsidRDefault="00586F0D" w14:paraId="2513EA1F" w14:textId="77777777">
      <w:pPr>
        <w:pStyle w:val="NoSpacing"/>
        <w:jc w:val="both"/>
      </w:pPr>
      <w:r>
        <w:t xml:space="preserve"> </w:t>
      </w:r>
    </w:p>
    <w:p w:rsidR="00586F0D" w:rsidP="00586F0D" w:rsidRDefault="00586F0D" w14:paraId="6A27339D" w14:textId="7F3652EF">
      <w:pPr>
        <w:pStyle w:val="NoSpacing"/>
        <w:numPr>
          <w:ilvl w:val="0"/>
          <w:numId w:val="1"/>
        </w:numPr>
        <w:jc w:val="both"/>
      </w:pPr>
      <w:r>
        <w:t>New developments and improvements in 20</w:t>
      </w:r>
      <w:r w:rsidR="00172C8E">
        <w:t>20</w:t>
      </w:r>
      <w:r>
        <w:t xml:space="preserve"> and new or remaining challenges;</w:t>
      </w:r>
      <w:r w:rsidR="00172C8E">
        <w:t xml:space="preserve"> and</w:t>
      </w:r>
    </w:p>
    <w:p w:rsidR="00586F0D" w:rsidP="00586F0D" w:rsidRDefault="00586F0D" w14:paraId="7CF403F8" w14:textId="2D5DCB0D">
      <w:pPr>
        <w:pStyle w:val="NoSpacing"/>
        <w:numPr>
          <w:ilvl w:val="0"/>
          <w:numId w:val="1"/>
        </w:numPr>
        <w:jc w:val="both"/>
      </w:pPr>
      <w:r>
        <w:t>Changes in policies or practices, transposition of legislation or institutional changes during 20</w:t>
      </w:r>
      <w:r w:rsidR="00A71E2E">
        <w:t>20</w:t>
      </w:r>
      <w:r>
        <w:t>.</w:t>
      </w:r>
    </w:p>
    <w:p w:rsidR="00586F0D" w:rsidP="00586F0D" w:rsidRDefault="00586F0D" w14:paraId="38493D8D" w14:textId="77777777">
      <w:pPr>
        <w:pStyle w:val="NoSpacing"/>
        <w:jc w:val="both"/>
      </w:pPr>
    </w:p>
    <w:p w:rsidR="00586F0D" w:rsidP="00586F0D" w:rsidRDefault="00586F0D" w14:paraId="3E5B3864" w14:textId="119E8820">
      <w:pPr>
        <w:pStyle w:val="NoSpacing"/>
      </w:pPr>
    </w:p>
    <w:p w:rsidR="00586F0D" w:rsidP="00586F0D" w:rsidRDefault="00586F0D" w14:paraId="09D8F9E9" w14:textId="34184BB5">
      <w:pPr>
        <w:pStyle w:val="NoSpacing"/>
        <w:jc w:val="both"/>
      </w:pPr>
      <w:r w:rsidRPr="00586F0D">
        <w:rPr>
          <w:lang w:val="en-US"/>
        </w:rPr>
        <w:t xml:space="preserve">Please ensure that your responses remain within the scope of each section. </w:t>
      </w:r>
      <w:r w:rsidRPr="00586F0D">
        <w:rPr>
          <w:u w:val="single"/>
          <w:lang w:val="en-US"/>
        </w:rPr>
        <w:t>Do not include information that</w:t>
      </w:r>
      <w:r w:rsidRPr="00586F0D">
        <w:rPr>
          <w:lang w:val="en-US"/>
        </w:rPr>
        <w:t xml:space="preserve"> </w:t>
      </w:r>
      <w:r w:rsidRPr="00586F0D">
        <w:rPr>
          <w:u w:val="single"/>
          <w:lang w:val="en-US"/>
        </w:rPr>
        <w:t>goes beyond the thematic focus of each section or is not related to recent developments</w:t>
      </w:r>
    </w:p>
    <w:p w:rsidR="00586F0D" w:rsidP="00586F0D" w:rsidRDefault="00586F0D" w14:paraId="413004D8" w14:textId="6A36B200">
      <w:pPr>
        <w:pStyle w:val="NoSpacing"/>
      </w:pPr>
    </w:p>
    <w:p w:rsidR="00586F0D" w:rsidP="00586F0D" w:rsidRDefault="00586F0D" w14:paraId="4F579A8B" w14:textId="71B1EBA3">
      <w:pPr>
        <w:pStyle w:val="NoSpacing"/>
      </w:pPr>
    </w:p>
    <w:p w:rsidR="00586F0D" w:rsidP="00586F0D" w:rsidRDefault="00586F0D" w14:paraId="51A9B317" w14:textId="46E9FC1F">
      <w:pPr>
        <w:pStyle w:val="NoSpacing"/>
      </w:pPr>
    </w:p>
    <w:p w:rsidR="00586F0D" w:rsidP="00586F0D" w:rsidRDefault="00586F0D" w14:paraId="7FC2763B" w14:textId="5CC5DF31">
      <w:pPr>
        <w:pStyle w:val="Heading1"/>
      </w:pPr>
      <w:r>
        <w:rPr>
          <w:noProof/>
          <w:lang w:val="nb-NO" w:eastAsia="nb-NO"/>
        </w:rPr>
        <mc:AlternateContent>
          <mc:Choice Requires="wps">
            <w:drawing>
              <wp:anchor distT="0" distB="0" distL="114300" distR="114300" simplePos="0" relativeHeight="251661312" behindDoc="0" locked="0" layoutInCell="1" allowOverlap="1" wp14:anchorId="7C8119A9" wp14:editId="05AD19DD">
                <wp:simplePos x="0" y="0"/>
                <wp:positionH relativeFrom="page">
                  <wp:posOffset>695325</wp:posOffset>
                </wp:positionH>
                <wp:positionV relativeFrom="paragraph">
                  <wp:posOffset>327660</wp:posOffset>
                </wp:positionV>
                <wp:extent cx="63817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9A3B6C1">
              <v:line id="Straight Connector 2"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pt" to="557.25pt,25.8pt" w14:anchorId="01A46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3VHAIAADcEAAAOAAAAZHJzL2Uyb0RvYy54bWysU8GO2yAQvVfqPyDuie2smyZWnFVlJ71s&#10;20jZfgABbKNiQEDiRFX/vQOJo93tpap6sQdmeLx581g9nnuJTtw6oVWJs2mKEVdUM6HaEn9/3k4W&#10;GDlPFCNSK17iC3f4cf3+3WowBZ/pTkvGLQIQ5YrBlLjz3hRJ4mjHe+Km2nAFyUbbnnhY2jZhlgyA&#10;3stklqbzZNCWGaspdw5262sSryN+03DqvzWN4x7JEgM3H782fg/hm6xXpGgtMZ2gNxrkH1j0RCi4&#10;9A5VE0/Q0Yo/oHpBrXa68VOq+0Q3jaA89gDdZOmbbvYdMTz2AuI4c5fJ/T9Y+vW0s0iwEs8wUqSH&#10;Ee29JaLtPKq0UiCgtmgWdBqMK6C8UjsbOqVntTdPmv5wSOmqI6rlke/zxQBIFk4kr46EhTNw22H4&#10;ohnUkKPXUbRzY/sACXKgc5zN5T4bfvaIwub8YZF9/AAjpGMuIcV40FjnP3PdoxCUWAoVZCMFOT05&#10;H4iQYiwJ20pvhZRx9FKhAdguU4AOKaelYCEbF7Y9VNKiEwnuSfPNchHbelNm9VGxiNZxwja32BMh&#10;rzHcLlXAg16Azy262uPnMl1uFptFPsln880kT+t68mlb5ZP5FtqtH+qqqrNfgVqWF51gjKvAbrRq&#10;lv+dFW6P5mqyu1nvOiSv0aNgQHb8R9JxmGF+VyccNLvs7DhkcGcsvr2kYP+Xa4hfvvf1bwAAAP//&#10;AwBQSwMEFAAGAAgAAAAhAPIIU9nbAAAACgEAAA8AAABkcnMvZG93bnJldi54bWxMj0FLxDAQhe+C&#10;/yGM4M1NKra4tekiwoIn0Sqep81sW2wm3Sbb1n9vFg96fG8+3rxX7FY7iJkm3zvWkGwUCOLGmZ5b&#10;DR/v+5t7ED4gGxwck4Zv8rArLy8KzI1b+I3mKrQihrDPUUMXwphL6ZuOLPqNG4nj7eAmiyHKqZVm&#10;wiWG20HeKpVJiz3HDx2O9NRR81WdrAZ77LHeL+nL57aSR6+yOTy/HrS+vlofH0AEWsMfDOf6sTqU&#10;sVPtTmy8GKJW2zSiGtIkA3EGkuQuOvWvI8tC/p9Q/gAAAP//AwBQSwECLQAUAAYACAAAACEAtoM4&#10;kv4AAADhAQAAEwAAAAAAAAAAAAAAAAAAAAAAW0NvbnRlbnRfVHlwZXNdLnhtbFBLAQItABQABgAI&#10;AAAAIQA4/SH/1gAAAJQBAAALAAAAAAAAAAAAAAAAAC8BAABfcmVscy8ucmVsc1BLAQItABQABgAI&#10;AAAAIQBu1e3VHAIAADcEAAAOAAAAAAAAAAAAAAAAAC4CAABkcnMvZTJvRG9jLnhtbFBLAQItABQA&#10;BgAIAAAAIQDyCFPZ2wAAAAoBAAAPAAAAAAAAAAAAAAAAAHYEAABkcnMvZG93bnJldi54bWxQSwUG&#10;AAAAAAQABADzAAAAfgUAAAAA&#10;">
                <w10:wrap anchorx="page"/>
              </v:line>
            </w:pict>
          </mc:Fallback>
        </mc:AlternateContent>
      </w:r>
      <w:r>
        <w:rPr>
          <w:color w:val="004E98"/>
        </w:rPr>
        <w:t>Contributions by topic</w:t>
      </w:r>
    </w:p>
    <w:p w:rsidR="00586F0D" w:rsidP="00586F0D" w:rsidRDefault="00586F0D" w14:paraId="197A1B96" w14:textId="169A013F">
      <w:pPr>
        <w:pStyle w:val="NoSpacing"/>
      </w:pPr>
    </w:p>
    <w:p w:rsidRPr="00586F0D" w:rsidR="00586F0D" w:rsidP="00B0377E" w:rsidRDefault="00586F0D" w14:paraId="2D2E9512" w14:textId="032D319A">
      <w:pPr>
        <w:pStyle w:val="NoSpacing"/>
        <w:numPr>
          <w:ilvl w:val="0"/>
          <w:numId w:val="2"/>
        </w:numPr>
        <w:jc w:val="both"/>
      </w:pPr>
      <w:r w:rsidRPr="00586F0D">
        <w:rPr>
          <w:rFonts w:ascii="Arial" w:hAnsi="Arial" w:eastAsia="Arial" w:cs="Arial"/>
          <w:b/>
          <w:color w:val="333399"/>
          <w:sz w:val="21"/>
          <w:lang w:val="en-US"/>
        </w:rPr>
        <w:t xml:space="preserve">Access to territory and access to asylum procedures (including first arrival to territory and registration, arrival at the border, application of the non-refoulement principle, the right to </w:t>
      </w:r>
      <w:r w:rsidRPr="00586F0D">
        <w:rPr>
          <w:rFonts w:ascii="Arial" w:hAnsi="Arial" w:eastAsia="Arial" w:cs="Arial"/>
          <w:b/>
          <w:color w:val="333399"/>
          <w:spacing w:val="-4"/>
          <w:sz w:val="21"/>
          <w:lang w:val="en-US"/>
        </w:rPr>
        <w:t xml:space="preserve">first </w:t>
      </w:r>
      <w:r w:rsidRPr="00586F0D">
        <w:rPr>
          <w:rFonts w:ascii="Arial" w:hAnsi="Arial" w:eastAsia="Arial" w:cs="Arial"/>
          <w:b/>
          <w:color w:val="333399"/>
          <w:sz w:val="21"/>
          <w:lang w:val="en-US"/>
        </w:rPr>
        <w:t>response (shelter, food, medical treatment) and issues regarding border guards)</w:t>
      </w:r>
    </w:p>
    <w:p w:rsidR="00AD0911" w:rsidP="00256E0C" w:rsidRDefault="00AD0911" w14:paraId="6140744A" w14:textId="6E519B47">
      <w:pPr>
        <w:spacing w:after="0" w:line="240" w:lineRule="auto"/>
        <w:jc w:val="both"/>
        <w:rPr>
          <w:lang w:val="en-US"/>
        </w:rPr>
      </w:pPr>
    </w:p>
    <w:p w:rsidR="00DB2A5C" w:rsidP="00256E0C" w:rsidRDefault="00DB2A5C" w14:paraId="1B5DC31F" w14:textId="06B7D88D">
      <w:pPr>
        <w:framePr w:hSpace="180" w:wrap="around" w:hAnchor="text" w:vAnchor="text" w:x="-10" w:y="1"/>
        <w:spacing w:after="0" w:line="240" w:lineRule="auto"/>
        <w:suppressOverlap/>
        <w:rPr>
          <w:rFonts w:ascii="Calibri" w:hAnsi="Calibri" w:cs="Calibri"/>
          <w:bCs/>
          <w:color w:val="000000"/>
          <w:szCs w:val="20"/>
          <w:lang w:val="en-US"/>
        </w:rPr>
      </w:pPr>
      <w:r>
        <w:rPr>
          <w:rFonts w:ascii="Calibri" w:hAnsi="Calibri" w:cs="Calibri"/>
          <w:bCs/>
          <w:color w:val="000000"/>
          <w:szCs w:val="20"/>
          <w:lang w:val="en-US"/>
        </w:rPr>
        <w:t>In November 2015, Norway formally adopted new border practices at its border with Russia that have effectively abolished the institute of asylum at that particular border. These practices are still in force today and their effectiveness entirely depends on the willingness of the Russian border guards to cooperate.</w:t>
      </w:r>
    </w:p>
    <w:p w:rsidR="00256E0C" w:rsidP="00256E0C" w:rsidRDefault="00256E0C" w14:paraId="55FB3A7D" w14:textId="77777777">
      <w:pPr>
        <w:framePr w:hSpace="180" w:wrap="around" w:hAnchor="text" w:vAnchor="text" w:x="-10" w:y="1"/>
        <w:spacing w:after="0" w:line="240" w:lineRule="auto"/>
        <w:suppressOverlap/>
        <w:rPr>
          <w:rFonts w:ascii="Calibri" w:hAnsi="Calibri" w:cs="Calibri"/>
          <w:bCs/>
          <w:color w:val="000000"/>
          <w:szCs w:val="20"/>
          <w:lang w:val="en-US"/>
        </w:rPr>
      </w:pPr>
    </w:p>
    <w:p w:rsidR="00DB2A5C" w:rsidP="00256E0C" w:rsidRDefault="00DB2A5C" w14:paraId="399EEEDB" w14:textId="4BA604AA">
      <w:pPr>
        <w:framePr w:hSpace="180" w:wrap="around" w:hAnchor="text" w:vAnchor="text" w:x="-10" w:y="1"/>
        <w:spacing w:after="0" w:line="240" w:lineRule="auto"/>
        <w:suppressOverlap/>
        <w:rPr>
          <w:rFonts w:ascii="Calibri" w:hAnsi="Calibri" w:cs="Calibri"/>
          <w:bCs/>
          <w:color w:val="000000"/>
          <w:szCs w:val="20"/>
          <w:lang w:val="en-US"/>
        </w:rPr>
      </w:pPr>
      <w:r>
        <w:rPr>
          <w:rFonts w:ascii="Calibri" w:hAnsi="Calibri" w:cs="Calibri"/>
          <w:bCs/>
          <w:color w:val="000000"/>
          <w:szCs w:val="20"/>
          <w:lang w:val="en-US"/>
        </w:rPr>
        <w:t xml:space="preserve">The practices of the Norwegian border guards are based on </w:t>
      </w:r>
      <w:hyperlink w:history="1" r:id="rId10">
        <w:r w:rsidRPr="00106F22">
          <w:rPr>
            <w:rStyle w:val="Hyperlink"/>
            <w:rFonts w:ascii="Calibri" w:hAnsi="Calibri" w:cs="Calibri"/>
            <w:bCs/>
            <w:szCs w:val="20"/>
            <w:lang w:val="en-US"/>
          </w:rPr>
          <w:t>an instruction</w:t>
        </w:r>
      </w:hyperlink>
      <w:r>
        <w:rPr>
          <w:rFonts w:ascii="Calibri" w:hAnsi="Calibri" w:cs="Calibri"/>
          <w:bCs/>
          <w:color w:val="000000"/>
          <w:szCs w:val="20"/>
          <w:lang w:val="en-US"/>
        </w:rPr>
        <w:t xml:space="preserve"> issued on </w:t>
      </w:r>
      <w:r w:rsidRPr="000D18DA">
        <w:rPr>
          <w:rFonts w:ascii="Calibri" w:hAnsi="Calibri" w:cs="Calibri"/>
          <w:bCs/>
          <w:color w:val="000000"/>
          <w:szCs w:val="20"/>
          <w:lang w:val="en-US"/>
        </w:rPr>
        <w:t>24</w:t>
      </w:r>
      <w:r>
        <w:rPr>
          <w:rFonts w:ascii="Calibri" w:hAnsi="Calibri" w:cs="Calibri"/>
          <w:bCs/>
          <w:color w:val="000000"/>
          <w:szCs w:val="20"/>
          <w:lang w:val="en-US"/>
        </w:rPr>
        <w:t>.11.</w:t>
      </w:r>
      <w:r w:rsidRPr="000D18DA">
        <w:rPr>
          <w:rFonts w:ascii="Calibri" w:hAnsi="Calibri" w:cs="Calibri"/>
          <w:bCs/>
          <w:color w:val="000000"/>
          <w:szCs w:val="20"/>
          <w:lang w:val="en-US"/>
        </w:rPr>
        <w:t>2015</w:t>
      </w:r>
      <w:r>
        <w:rPr>
          <w:rFonts w:ascii="Calibri" w:hAnsi="Calibri" w:cs="Calibri"/>
          <w:bCs/>
          <w:color w:val="000000"/>
          <w:szCs w:val="20"/>
          <w:lang w:val="en-US"/>
        </w:rPr>
        <w:t xml:space="preserve"> by the</w:t>
      </w:r>
      <w:r w:rsidRPr="000D18DA">
        <w:rPr>
          <w:rFonts w:ascii="Calibri" w:hAnsi="Calibri" w:cs="Calibri"/>
          <w:bCs/>
          <w:color w:val="000000"/>
          <w:szCs w:val="20"/>
          <w:lang w:val="en-US"/>
        </w:rPr>
        <w:t xml:space="preserve"> Ministry of Justice and Public Security</w:t>
      </w:r>
      <w:r>
        <w:rPr>
          <w:rFonts w:ascii="Calibri" w:hAnsi="Calibri" w:cs="Calibri"/>
          <w:bCs/>
          <w:color w:val="000000"/>
          <w:szCs w:val="20"/>
          <w:lang w:val="en-US"/>
        </w:rPr>
        <w:t xml:space="preserve"> </w:t>
      </w:r>
      <w:r w:rsidRPr="000D18DA">
        <w:rPr>
          <w:rFonts w:ascii="Calibri" w:hAnsi="Calibri" w:cs="Calibri"/>
          <w:bCs/>
          <w:color w:val="000000"/>
          <w:szCs w:val="20"/>
          <w:lang w:val="en-US"/>
        </w:rPr>
        <w:t>to the Police Directorate</w:t>
      </w:r>
      <w:r>
        <w:rPr>
          <w:rFonts w:ascii="Calibri" w:hAnsi="Calibri" w:cs="Calibri"/>
          <w:bCs/>
          <w:color w:val="000000"/>
          <w:szCs w:val="20"/>
          <w:lang w:val="en-US"/>
        </w:rPr>
        <w:t>. According to the instruction, which is still in force,</w:t>
      </w:r>
      <w:r w:rsidRPr="000D18DA">
        <w:rPr>
          <w:rFonts w:ascii="Calibri" w:hAnsi="Calibri" w:cs="Calibri"/>
          <w:bCs/>
          <w:color w:val="000000"/>
          <w:szCs w:val="20"/>
          <w:lang w:val="en-US"/>
        </w:rPr>
        <w:t xml:space="preserve"> the police on the Norwegian side of the border </w:t>
      </w:r>
      <w:r>
        <w:rPr>
          <w:rFonts w:ascii="Calibri" w:hAnsi="Calibri" w:cs="Calibri"/>
          <w:bCs/>
          <w:color w:val="000000"/>
          <w:szCs w:val="20"/>
          <w:lang w:val="en-US"/>
        </w:rPr>
        <w:t>must</w:t>
      </w:r>
      <w:r w:rsidRPr="000D18DA">
        <w:rPr>
          <w:rFonts w:ascii="Calibri" w:hAnsi="Calibri" w:cs="Calibri"/>
          <w:bCs/>
          <w:color w:val="000000"/>
          <w:szCs w:val="20"/>
          <w:lang w:val="en-US"/>
        </w:rPr>
        <w:t xml:space="preserve"> consistently notify the Russian border guards that </w:t>
      </w:r>
      <w:r>
        <w:rPr>
          <w:rFonts w:ascii="Calibri" w:hAnsi="Calibri" w:cs="Calibri"/>
          <w:bCs/>
          <w:color w:val="000000"/>
          <w:szCs w:val="20"/>
          <w:lang w:val="en-US"/>
        </w:rPr>
        <w:t xml:space="preserve">any </w:t>
      </w:r>
      <w:r w:rsidRPr="000D18DA">
        <w:rPr>
          <w:rFonts w:ascii="Calibri" w:hAnsi="Calibri" w:cs="Calibri"/>
          <w:bCs/>
          <w:color w:val="000000"/>
          <w:szCs w:val="20"/>
          <w:lang w:val="en-US"/>
        </w:rPr>
        <w:t xml:space="preserve">person without an entry permit to Norway will be sent back to the Russian side. According to the instruction, the Russian border guards must be requested to not let such </w:t>
      </w:r>
      <w:r>
        <w:rPr>
          <w:rFonts w:ascii="Calibri" w:hAnsi="Calibri" w:cs="Calibri"/>
          <w:bCs/>
          <w:color w:val="000000"/>
          <w:szCs w:val="20"/>
          <w:lang w:val="en-US"/>
        </w:rPr>
        <w:t>individuals pass</w:t>
      </w:r>
      <w:r w:rsidRPr="000D18DA">
        <w:rPr>
          <w:rFonts w:ascii="Calibri" w:hAnsi="Calibri" w:cs="Calibri"/>
          <w:bCs/>
          <w:color w:val="000000"/>
          <w:szCs w:val="20"/>
          <w:lang w:val="en-US"/>
        </w:rPr>
        <w:t xml:space="preserve"> through the Russian checkpoint. </w:t>
      </w:r>
    </w:p>
    <w:p w:rsidR="00256E0C" w:rsidP="00256E0C" w:rsidRDefault="00256E0C" w14:paraId="6B7A68FC" w14:textId="77777777">
      <w:pPr>
        <w:framePr w:hSpace="180" w:wrap="around" w:hAnchor="text" w:vAnchor="text" w:x="-10" w:y="1"/>
        <w:spacing w:after="0" w:line="240" w:lineRule="auto"/>
        <w:suppressOverlap/>
        <w:rPr>
          <w:rFonts w:ascii="Calibri" w:hAnsi="Calibri" w:cs="Calibri"/>
          <w:bCs/>
          <w:color w:val="000000"/>
          <w:szCs w:val="20"/>
          <w:lang w:val="en-US"/>
        </w:rPr>
      </w:pPr>
    </w:p>
    <w:p w:rsidR="00AD0911" w:rsidP="00256E0C" w:rsidRDefault="00DB2A5C" w14:paraId="60A89EDF" w14:textId="1E182A9B">
      <w:pPr>
        <w:spacing w:after="0" w:line="240" w:lineRule="auto"/>
        <w:jc w:val="both"/>
        <w:rPr>
          <w:bCs/>
          <w:color w:val="000000"/>
          <w:szCs w:val="20"/>
          <w:lang w:val="en-US"/>
        </w:rPr>
      </w:pPr>
      <w:r w:rsidRPr="000D18DA">
        <w:rPr>
          <w:rFonts w:ascii="Calibri" w:hAnsi="Calibri" w:cs="Calibri"/>
          <w:bCs/>
          <w:color w:val="000000"/>
          <w:szCs w:val="20"/>
          <w:lang w:val="en-US"/>
        </w:rPr>
        <w:t xml:space="preserve">Specifically, the instruction states </w:t>
      </w:r>
      <w:r w:rsidRPr="000F1168">
        <w:rPr>
          <w:rFonts w:ascii="Calibri" w:hAnsi="Calibri" w:cs="Calibri"/>
          <w:bCs/>
          <w:i/>
          <w:iCs/>
          <w:color w:val="000000"/>
          <w:szCs w:val="20"/>
          <w:lang w:val="en-US"/>
        </w:rPr>
        <w:t>inter alia</w:t>
      </w:r>
      <w:r>
        <w:rPr>
          <w:rFonts w:ascii="Calibri" w:hAnsi="Calibri" w:cs="Calibri"/>
          <w:bCs/>
          <w:color w:val="000000"/>
          <w:szCs w:val="20"/>
          <w:lang w:val="en-US"/>
        </w:rPr>
        <w:t xml:space="preserve"> </w:t>
      </w:r>
      <w:r w:rsidRPr="000D18DA">
        <w:rPr>
          <w:rFonts w:ascii="Calibri" w:hAnsi="Calibri" w:cs="Calibri"/>
          <w:bCs/>
          <w:color w:val="000000"/>
          <w:szCs w:val="20"/>
          <w:lang w:val="en-US"/>
        </w:rPr>
        <w:t>the following: “When handing over the travel documents back to the Russian border guard, a written note in Russian must be handed over at the same time, addressed to the Russian authorities, stating that the holders of the specified travel documents do not have a valid visa to Norway and that entry for these persons is to be considered illegal entry according to Article 10(4) of the readmission agreement. Russian authorities are therefore to be requested to not let these persons through the Russian side. Furthermore, the note must state that persons who do not have a valid entry permit to Norway will be rejected and returned to Russia and that this will as a main rule also apply to persons who apply for asylum in Norway.</w:t>
      </w:r>
      <w:r>
        <w:rPr>
          <w:rFonts w:ascii="Calibri" w:hAnsi="Calibri" w:cs="Calibri"/>
          <w:bCs/>
          <w:color w:val="000000"/>
          <w:szCs w:val="20"/>
          <w:lang w:val="en-US"/>
        </w:rPr>
        <w:t>”</w:t>
      </w:r>
    </w:p>
    <w:p w:rsidR="00AD0911" w:rsidP="00B0377E" w:rsidRDefault="00AD0911" w14:paraId="1FBBD53A" w14:textId="70AA9260">
      <w:pPr>
        <w:jc w:val="both"/>
        <w:rPr>
          <w:bCs/>
          <w:color w:val="000000"/>
          <w:szCs w:val="20"/>
          <w:lang w:val="en-US"/>
        </w:rPr>
      </w:pPr>
    </w:p>
    <w:p w:rsidR="003C7A2D" w:rsidP="00B0377E" w:rsidRDefault="003C7A2D" w14:paraId="5ABE697B" w14:textId="55E17038">
      <w:pPr>
        <w:jc w:val="both"/>
        <w:rPr>
          <w:bCs/>
          <w:color w:val="000000"/>
          <w:szCs w:val="20"/>
          <w:lang w:val="en-US"/>
        </w:rPr>
      </w:pPr>
    </w:p>
    <w:p w:rsidR="003C7A2D" w:rsidP="00B0377E" w:rsidRDefault="003C7A2D" w14:paraId="449AFAB2" w14:textId="77777777">
      <w:pPr>
        <w:jc w:val="both"/>
        <w:rPr>
          <w:lang w:val="en-US"/>
        </w:rPr>
      </w:pPr>
    </w:p>
    <w:p w:rsidRPr="00586F0D" w:rsidR="00586F0D" w:rsidP="00B0377E" w:rsidRDefault="00586F0D" w14:paraId="40AF8633" w14:textId="7E42F59B">
      <w:pPr>
        <w:pStyle w:val="NoSpacing"/>
        <w:numPr>
          <w:ilvl w:val="0"/>
          <w:numId w:val="2"/>
        </w:numPr>
        <w:jc w:val="both"/>
      </w:pPr>
      <w:r w:rsidRPr="00586F0D">
        <w:rPr>
          <w:rFonts w:ascii="Arial" w:hAnsi="Arial" w:eastAsia="Arial" w:cs="Arial"/>
          <w:b/>
          <w:color w:val="333399"/>
          <w:sz w:val="21"/>
          <w:lang w:val="en-US"/>
        </w:rPr>
        <w:lastRenderedPageBreak/>
        <w:t>Access to information and legal assistance (including counselling and representation)</w:t>
      </w:r>
    </w:p>
    <w:p w:rsidR="00586F0D" w:rsidP="00F86B5D" w:rsidRDefault="00586F0D" w14:paraId="69D52CAC" w14:textId="458D2764">
      <w:pPr>
        <w:spacing w:after="0" w:line="240" w:lineRule="auto"/>
        <w:jc w:val="both"/>
        <w:rPr>
          <w:lang w:val="en-US"/>
        </w:rPr>
      </w:pPr>
    </w:p>
    <w:p w:rsidR="00B47840" w:rsidP="00F86B5D" w:rsidRDefault="00B72FE6" w14:paraId="532CFFF8" w14:textId="159E8274">
      <w:pPr>
        <w:spacing w:after="0" w:line="240" w:lineRule="auto"/>
        <w:jc w:val="both"/>
        <w:rPr>
          <w:lang w:val="en-US"/>
        </w:rPr>
      </w:pPr>
      <w:r w:rsidRPr="00B72FE6">
        <w:rPr>
          <w:u w:val="single"/>
          <w:lang w:val="en-US"/>
        </w:rPr>
        <w:t>Information</w:t>
      </w:r>
      <w:r w:rsidRPr="00B72FE6" w:rsidR="00AD0911">
        <w:rPr>
          <w:u w:val="single"/>
          <w:lang w:val="en-US"/>
        </w:rPr>
        <w:t>:</w:t>
      </w:r>
      <w:r w:rsidRPr="00B72FE6" w:rsidR="00AD0911">
        <w:rPr>
          <w:lang w:val="en-US"/>
        </w:rPr>
        <w:t xml:space="preserve"> </w:t>
      </w:r>
      <w:r w:rsidR="002B5537">
        <w:rPr>
          <w:lang w:val="en-US"/>
        </w:rPr>
        <w:t xml:space="preserve">According to the Immigration Regulation, asylum seekers are entitled to individual guidance from an independent organization when claiming asylum in Norway. The Norwegian Organization for Asylum Seekers (NOAS) offer information and guidance to asylum seekers at the National Arrival Centre. As of November 2020, all asylum applications are to be registered at the NAC, which may </w:t>
      </w:r>
      <w:r w:rsidR="007F4FA1">
        <w:rPr>
          <w:lang w:val="en-US"/>
        </w:rPr>
        <w:t>contribute towards</w:t>
      </w:r>
      <w:r w:rsidR="00343BCB">
        <w:rPr>
          <w:lang w:val="en-US"/>
        </w:rPr>
        <w:t xml:space="preserve"> the </w:t>
      </w:r>
      <w:r w:rsidR="007F4FA1">
        <w:rPr>
          <w:lang w:val="en-US"/>
        </w:rPr>
        <w:t xml:space="preserve">effective </w:t>
      </w:r>
      <w:r w:rsidR="00343BCB">
        <w:rPr>
          <w:lang w:val="en-US"/>
        </w:rPr>
        <w:t xml:space="preserve">provision of information and guidance to all. There are however challenges in </w:t>
      </w:r>
      <w:r w:rsidR="00E83557">
        <w:rPr>
          <w:lang w:val="en-US"/>
        </w:rPr>
        <w:t xml:space="preserve">ensuring the offer to asylum seekers that are being detained shortly after registration, inmates in prisons seeking asylum and to some who chose to stay at private residences after registration. </w:t>
      </w:r>
    </w:p>
    <w:p w:rsidR="00F86B5D" w:rsidP="00F86B5D" w:rsidRDefault="00F86B5D" w14:paraId="5E6A1EFD" w14:textId="77777777">
      <w:pPr>
        <w:spacing w:after="0" w:line="240" w:lineRule="auto"/>
        <w:jc w:val="both"/>
        <w:rPr>
          <w:u w:val="single"/>
          <w:lang w:val="en-US"/>
        </w:rPr>
      </w:pPr>
    </w:p>
    <w:p w:rsidR="00B47840" w:rsidP="00F86B5D" w:rsidRDefault="00AD0911" w14:paraId="2FB59863" w14:textId="2833BE35">
      <w:pPr>
        <w:spacing w:after="0" w:line="240" w:lineRule="auto"/>
        <w:jc w:val="both"/>
        <w:rPr>
          <w:lang w:val="en-US"/>
        </w:rPr>
      </w:pPr>
      <w:r w:rsidRPr="00B72FE6">
        <w:rPr>
          <w:u w:val="single"/>
          <w:lang w:val="en-US"/>
        </w:rPr>
        <w:t>Legal assistance:</w:t>
      </w:r>
      <w:r>
        <w:rPr>
          <w:lang w:val="en-US"/>
        </w:rPr>
        <w:t xml:space="preserve"> </w:t>
      </w:r>
      <w:r w:rsidR="003C2F9A">
        <w:rPr>
          <w:lang w:val="en-US"/>
        </w:rPr>
        <w:t>The number of hours of free legal aid provided in asylum cases</w:t>
      </w:r>
      <w:r w:rsidR="00E32F53">
        <w:rPr>
          <w:lang w:val="en-US"/>
        </w:rPr>
        <w:t xml:space="preserve"> in Norway</w:t>
      </w:r>
      <w:r w:rsidR="003C2F9A">
        <w:rPr>
          <w:lang w:val="en-US"/>
        </w:rPr>
        <w:t xml:space="preserve">, are not sufficient to ensure the rights of asylum seekers. Only 5 hours are provided in a regular asylum case, after a case is rejected in </w:t>
      </w:r>
      <w:r w:rsidR="004C2513">
        <w:rPr>
          <w:lang w:val="en-US"/>
        </w:rPr>
        <w:t xml:space="preserve">the first instance (by the Norwegian Directorate of Immigration). The report from </w:t>
      </w:r>
      <w:hyperlink w:history="1" r:id="rId11">
        <w:r w:rsidRPr="00DC62CB" w:rsidR="004C2513">
          <w:rPr>
            <w:rStyle w:val="Hyperlink"/>
            <w:lang w:val="en-US"/>
          </w:rPr>
          <w:t>a public enquiry</w:t>
        </w:r>
      </w:hyperlink>
      <w:r w:rsidR="004C2513">
        <w:rPr>
          <w:lang w:val="en-US"/>
        </w:rPr>
        <w:t xml:space="preserve"> published in April 2020, recommends that the number of hours of free legal aid is increased from 5 to 8. The inquiry also recommends that 4 million</w:t>
      </w:r>
      <w:r w:rsidR="00386EBF">
        <w:rPr>
          <w:lang w:val="en-US"/>
        </w:rPr>
        <w:t xml:space="preserve"> NOK is provided to e</w:t>
      </w:r>
      <w:r w:rsidR="004C2513">
        <w:rPr>
          <w:lang w:val="en-US"/>
        </w:rPr>
        <w:t xml:space="preserve">nsure that </w:t>
      </w:r>
      <w:r w:rsidR="00386EBF">
        <w:rPr>
          <w:lang w:val="en-US"/>
        </w:rPr>
        <w:t>principal matter</w:t>
      </w:r>
      <w:r w:rsidR="00E933F6">
        <w:rPr>
          <w:lang w:val="en-US"/>
        </w:rPr>
        <w:t>s</w:t>
      </w:r>
      <w:r w:rsidR="00386EBF">
        <w:rPr>
          <w:lang w:val="en-US"/>
        </w:rPr>
        <w:t xml:space="preserve"> in immigration</w:t>
      </w:r>
      <w:r w:rsidR="004C2513">
        <w:rPr>
          <w:lang w:val="en-US"/>
        </w:rPr>
        <w:t xml:space="preserve"> cases are tried in court.  </w:t>
      </w:r>
      <w:r w:rsidR="003C2F9A">
        <w:rPr>
          <w:lang w:val="en-US"/>
        </w:rPr>
        <w:t xml:space="preserve"> </w:t>
      </w:r>
    </w:p>
    <w:p w:rsidR="00F86B5D" w:rsidP="00F86B5D" w:rsidRDefault="00F86B5D" w14:paraId="6414B91D" w14:textId="77777777">
      <w:pPr>
        <w:spacing w:after="0" w:line="240" w:lineRule="auto"/>
        <w:jc w:val="both"/>
        <w:rPr>
          <w:lang w:val="en-US"/>
        </w:rPr>
      </w:pPr>
    </w:p>
    <w:p w:rsidR="00B47840" w:rsidP="00F86B5D" w:rsidRDefault="00B47840" w14:paraId="22A7C655" w14:textId="77777777">
      <w:pPr>
        <w:spacing w:after="0" w:line="240" w:lineRule="auto"/>
        <w:jc w:val="both"/>
        <w:rPr>
          <w:lang w:val="en-US"/>
        </w:rPr>
      </w:pPr>
    </w:p>
    <w:p w:rsidRPr="00586F0D" w:rsidR="00586F0D" w:rsidP="00B0377E" w:rsidRDefault="00586F0D" w14:paraId="7CC6AE27" w14:textId="7C6D90B6">
      <w:pPr>
        <w:pStyle w:val="NoSpacing"/>
        <w:numPr>
          <w:ilvl w:val="0"/>
          <w:numId w:val="2"/>
        </w:numPr>
        <w:jc w:val="both"/>
      </w:pPr>
      <w:r w:rsidRPr="00586F0D">
        <w:rPr>
          <w:rFonts w:ascii="Arial" w:hAnsi="Arial" w:eastAsia="Arial" w:cs="Arial"/>
          <w:b/>
          <w:color w:val="333399"/>
          <w:sz w:val="21"/>
          <w:lang w:val="en-US"/>
        </w:rPr>
        <w:t xml:space="preserve">Provision of interpretation services (e.g. introduction of innovative methods for </w:t>
      </w:r>
      <w:r w:rsidRPr="00586F0D">
        <w:rPr>
          <w:rFonts w:ascii="Arial" w:hAnsi="Arial" w:eastAsia="Arial" w:cs="Arial"/>
          <w:b/>
          <w:color w:val="333399"/>
          <w:spacing w:val="-2"/>
          <w:sz w:val="21"/>
          <w:lang w:val="en-US"/>
        </w:rPr>
        <w:t xml:space="preserve">interpretation, </w:t>
      </w:r>
      <w:r w:rsidRPr="00586F0D">
        <w:rPr>
          <w:rFonts w:ascii="Arial" w:hAnsi="Arial" w:eastAsia="Arial" w:cs="Arial"/>
          <w:b/>
          <w:color w:val="333399"/>
          <w:sz w:val="21"/>
          <w:lang w:val="en-US"/>
        </w:rPr>
        <w:t>increase/decrease in the number of languages available, change in qualifications required for interpreters)</w:t>
      </w:r>
    </w:p>
    <w:p w:rsidR="00586F0D" w:rsidP="00B0377E" w:rsidRDefault="00586F0D" w14:paraId="125592CD" w14:textId="72E96C13">
      <w:pPr>
        <w:jc w:val="both"/>
        <w:rPr>
          <w:lang w:val="en-US"/>
        </w:rPr>
      </w:pPr>
    </w:p>
    <w:p w:rsidR="008F238F" w:rsidP="00B0377E" w:rsidRDefault="00212898" w14:paraId="7FE41A6C" w14:textId="4B1C35C6">
      <w:pPr>
        <w:jc w:val="both"/>
        <w:rPr>
          <w:lang w:val="en-US"/>
        </w:rPr>
      </w:pPr>
      <w:r>
        <w:rPr>
          <w:lang w:val="en-US"/>
        </w:rPr>
        <w:t xml:space="preserve">- </w:t>
      </w:r>
    </w:p>
    <w:p w:rsidR="008F238F" w:rsidP="00B0377E" w:rsidRDefault="008F238F" w14:paraId="7F302C1F" w14:textId="77777777">
      <w:pPr>
        <w:jc w:val="both"/>
        <w:rPr>
          <w:lang w:val="en-US"/>
        </w:rPr>
      </w:pPr>
    </w:p>
    <w:p w:rsidRPr="00586F0D" w:rsidR="00586F0D" w:rsidP="00B0377E" w:rsidRDefault="00586F0D" w14:paraId="681CAAC3" w14:textId="4A4FBE4E">
      <w:pPr>
        <w:pStyle w:val="NoSpacing"/>
        <w:numPr>
          <w:ilvl w:val="0"/>
          <w:numId w:val="2"/>
        </w:numPr>
        <w:jc w:val="both"/>
      </w:pPr>
      <w:r w:rsidRPr="00586F0D">
        <w:rPr>
          <w:rFonts w:ascii="Arial" w:hAnsi="Arial" w:eastAsia="Arial" w:cs="Arial"/>
          <w:b/>
          <w:color w:val="333399"/>
          <w:sz w:val="21"/>
          <w:lang w:val="en-US"/>
        </w:rPr>
        <w:t xml:space="preserve">Dublin procedures (including the </w:t>
      </w:r>
      <w:proofErr w:type="spellStart"/>
      <w:r w:rsidRPr="00586F0D">
        <w:rPr>
          <w:rFonts w:ascii="Arial" w:hAnsi="Arial" w:eastAsia="Arial" w:cs="Arial"/>
          <w:b/>
          <w:color w:val="333399"/>
          <w:sz w:val="21"/>
          <w:lang w:val="en-US"/>
        </w:rPr>
        <w:t>organisational</w:t>
      </w:r>
      <w:proofErr w:type="spellEnd"/>
      <w:r w:rsidRPr="00586F0D">
        <w:rPr>
          <w:rFonts w:ascii="Arial" w:hAnsi="Arial" w:eastAsia="Arial" w:cs="Arial"/>
          <w:b/>
          <w:color w:val="333399"/>
          <w:sz w:val="21"/>
          <w:lang w:val="en-US"/>
        </w:rPr>
        <w:t xml:space="preserve"> framework, practical developments, suspension of transfers to selected countries, detention in the framework of Dublin procedures)</w:t>
      </w:r>
    </w:p>
    <w:p w:rsidR="00586F0D" w:rsidP="008F238F" w:rsidRDefault="00586F0D" w14:paraId="70448828" w14:textId="10284DDC">
      <w:pPr>
        <w:spacing w:after="0" w:line="240" w:lineRule="auto"/>
        <w:jc w:val="both"/>
        <w:rPr>
          <w:lang w:val="en-US"/>
        </w:rPr>
      </w:pPr>
    </w:p>
    <w:p w:rsidR="00A12A30" w:rsidP="008F238F" w:rsidRDefault="00A12A30" w14:paraId="438153FD" w14:textId="7B55445E">
      <w:pPr>
        <w:spacing w:after="0" w:line="240" w:lineRule="auto"/>
      </w:pPr>
      <w:r>
        <w:t xml:space="preserve">By introducing a ‘safe third country’ rule that falls short of the requirements of Article 3(3) of the Dublin III Regulation and Article 38(1)(e) of the EU Procedures Directive (APD), </w:t>
      </w:r>
      <w:hyperlink w:history="1" r:id="rId12">
        <w:r w:rsidRPr="00132DC6">
          <w:rPr>
            <w:rStyle w:val="Hyperlink"/>
          </w:rPr>
          <w:t>Norway created a strong incentive for secondary movement</w:t>
        </w:r>
      </w:hyperlink>
      <w:r>
        <w:t xml:space="preserve"> from Norway to other member states for asylum seekers that fall under Norway’s amended safe third country provision.</w:t>
      </w:r>
      <w:r w:rsidR="007C3479">
        <w:rPr>
          <w:rStyle w:val="FootnoteReference"/>
        </w:rPr>
        <w:footnoteReference w:id="1"/>
      </w:r>
      <w:r w:rsidR="007C3479">
        <w:t xml:space="preserve"> </w:t>
      </w:r>
      <w:r w:rsidRPr="00B75F38">
        <w:rPr>
          <w:rFonts w:ascii="Calibri" w:hAnsi="Calibri" w:cs="Calibri"/>
          <w:bCs/>
          <w:color w:val="000000"/>
          <w:szCs w:val="20"/>
        </w:rPr>
        <w:t>According to</w:t>
      </w:r>
      <w:r>
        <w:rPr>
          <w:rFonts w:ascii="Calibri" w:hAnsi="Calibri" w:cs="Calibri"/>
          <w:b/>
          <w:color w:val="000000"/>
          <w:szCs w:val="20"/>
        </w:rPr>
        <w:t xml:space="preserve"> s</w:t>
      </w:r>
      <w:r w:rsidRPr="00EC27C0">
        <w:rPr>
          <w:rFonts w:ascii="Calibri" w:hAnsi="Calibri" w:cs="Calibri"/>
          <w:b/>
          <w:color w:val="000000"/>
          <w:szCs w:val="20"/>
        </w:rPr>
        <w:t>ection 32(1)(d)</w:t>
      </w:r>
      <w:r>
        <w:rPr>
          <w:rFonts w:ascii="Calibri" w:hAnsi="Calibri" w:cs="Calibri"/>
          <w:bCs/>
          <w:color w:val="000000"/>
          <w:szCs w:val="20"/>
        </w:rPr>
        <w:t xml:space="preserve"> of the Norwegian Immigration Act: “</w:t>
      </w:r>
      <w:r w:rsidRPr="00D529F6">
        <w:rPr>
          <w:rFonts w:ascii="Calibri" w:hAnsi="Calibri" w:cs="Calibri"/>
          <w:bCs/>
          <w:color w:val="000000"/>
          <w:szCs w:val="20"/>
        </w:rPr>
        <w:t xml:space="preserve">An application for a residence permit under section 28 </w:t>
      </w:r>
      <w:r>
        <w:rPr>
          <w:rFonts w:ascii="Calibri" w:hAnsi="Calibri" w:cs="Calibri"/>
          <w:bCs/>
          <w:color w:val="000000"/>
          <w:szCs w:val="20"/>
        </w:rPr>
        <w:t xml:space="preserve">[asylum] </w:t>
      </w:r>
      <w:r w:rsidRPr="00D529F6">
        <w:rPr>
          <w:rFonts w:ascii="Calibri" w:hAnsi="Calibri" w:cs="Calibri"/>
          <w:bCs/>
          <w:color w:val="000000"/>
          <w:szCs w:val="20"/>
        </w:rPr>
        <w:t>may be refused examination on its merits if</w:t>
      </w:r>
      <w:r>
        <w:rPr>
          <w:rFonts w:ascii="Calibri" w:hAnsi="Calibri" w:cs="Calibri"/>
          <w:bCs/>
          <w:color w:val="000000"/>
          <w:szCs w:val="20"/>
        </w:rPr>
        <w:t xml:space="preserve"> […]</w:t>
      </w:r>
      <w:r w:rsidRPr="00D529F6">
        <w:rPr>
          <w:rFonts w:ascii="Calibri" w:hAnsi="Calibri" w:cs="Calibri"/>
          <w:bCs/>
          <w:color w:val="000000"/>
          <w:szCs w:val="20"/>
        </w:rPr>
        <w:t xml:space="preserve"> (d) the applicant has travelled to the realm after having stayed in a state or an area where the foreign national was not persecuted</w:t>
      </w:r>
      <w:r>
        <w:rPr>
          <w:rFonts w:ascii="Calibri" w:hAnsi="Calibri" w:cs="Calibri"/>
          <w:bCs/>
          <w:color w:val="000000"/>
          <w:szCs w:val="20"/>
        </w:rPr>
        <w:t xml:space="preserve">.” The wording that </w:t>
      </w:r>
      <w:r w:rsidR="007F4FA1">
        <w:rPr>
          <w:rFonts w:ascii="Calibri" w:hAnsi="Calibri" w:cs="Calibri"/>
          <w:bCs/>
          <w:color w:val="000000"/>
          <w:szCs w:val="20"/>
        </w:rPr>
        <w:t xml:space="preserve">originally </w:t>
      </w:r>
      <w:r>
        <w:rPr>
          <w:rFonts w:ascii="Calibri" w:hAnsi="Calibri" w:cs="Calibri"/>
          <w:bCs/>
          <w:color w:val="000000"/>
          <w:szCs w:val="20"/>
        </w:rPr>
        <w:t xml:space="preserve">followed: “, and </w:t>
      </w:r>
      <w:r>
        <w:rPr>
          <w:rFonts w:ascii="Calibri" w:hAnsi="Calibri"/>
          <w:bCs/>
          <w:color w:val="000000"/>
        </w:rPr>
        <w:t xml:space="preserve">where </w:t>
      </w:r>
      <w:r w:rsidRPr="00C554D8">
        <w:rPr>
          <w:rFonts w:cstheme="minorHAnsi"/>
          <w:bCs/>
          <w:color w:val="000000"/>
          <w:szCs w:val="20"/>
        </w:rPr>
        <w:t>the foreign national’s application for protection will be examined</w:t>
      </w:r>
      <w:r>
        <w:rPr>
          <w:rFonts w:cstheme="minorHAnsi"/>
          <w:bCs/>
          <w:color w:val="000000"/>
          <w:szCs w:val="20"/>
        </w:rPr>
        <w:t xml:space="preserve">” was removed from the provision in an expedited legislative procedure on 20 November 2015. </w:t>
      </w:r>
      <w:r w:rsidR="00AD0F78">
        <w:rPr>
          <w:rFonts w:cstheme="minorHAnsi"/>
          <w:bCs/>
          <w:color w:val="000000"/>
          <w:szCs w:val="20"/>
        </w:rPr>
        <w:t xml:space="preserve">As a direct result of this legislative amendment, </w:t>
      </w:r>
      <w:r w:rsidR="00AD0F78">
        <w:t>s</w:t>
      </w:r>
      <w:r>
        <w:t xml:space="preserve">ome 1 000 asylum-seekers who had arrived at </w:t>
      </w:r>
      <w:proofErr w:type="spellStart"/>
      <w:r>
        <w:t>Storskog</w:t>
      </w:r>
      <w:proofErr w:type="spellEnd"/>
      <w:r>
        <w:t xml:space="preserve"> border-crossing </w:t>
      </w:r>
      <w:r w:rsidR="00AD0F78">
        <w:t xml:space="preserve">(via Russia) </w:t>
      </w:r>
      <w:r>
        <w:t>in 2015 have subsequently left Norway and applied for asylum in other Member States.</w:t>
      </w:r>
      <w:r w:rsidR="007C3479">
        <w:rPr>
          <w:rStyle w:val="FootnoteReference"/>
        </w:rPr>
        <w:footnoteReference w:id="2"/>
      </w:r>
    </w:p>
    <w:p w:rsidR="008F238F" w:rsidP="008F238F" w:rsidRDefault="008F238F" w14:paraId="705BF71D" w14:textId="77777777">
      <w:pPr>
        <w:spacing w:after="0" w:line="240" w:lineRule="auto"/>
        <w:jc w:val="both"/>
      </w:pPr>
    </w:p>
    <w:p w:rsidR="00B47840" w:rsidP="008F238F" w:rsidRDefault="00A12A30" w14:paraId="74E8EE25" w14:textId="3DA1B8FA">
      <w:pPr>
        <w:spacing w:after="0" w:line="240" w:lineRule="auto"/>
        <w:jc w:val="both"/>
      </w:pPr>
      <w:r>
        <w:lastRenderedPageBreak/>
        <w:t xml:space="preserve">A separate development concerns </w:t>
      </w:r>
      <w:hyperlink w:history="1" r:id="rId13">
        <w:r w:rsidRPr="00132DC6">
          <w:rPr>
            <w:rStyle w:val="Hyperlink"/>
          </w:rPr>
          <w:t>legislative introduction of a new procedure</w:t>
        </w:r>
      </w:hyperlink>
      <w:r>
        <w:t xml:space="preserve"> that, if activated, </w:t>
      </w:r>
      <w:r>
        <w:rPr>
          <w:rFonts w:ascii="Calibri" w:hAnsi="Calibri" w:cs="Calibri"/>
          <w:bCs/>
          <w:color w:val="000000"/>
          <w:szCs w:val="20"/>
        </w:rPr>
        <w:t xml:space="preserve">may prevent asylum seekers from accessing Norway’s territory </w:t>
      </w:r>
      <w:r w:rsidRPr="00A12A30">
        <w:rPr>
          <w:rFonts w:ascii="Calibri" w:hAnsi="Calibri" w:cs="Calibri"/>
          <w:bCs/>
          <w:color w:val="000000"/>
          <w:szCs w:val="20"/>
        </w:rPr>
        <w:t xml:space="preserve">from a neighbouring </w:t>
      </w:r>
      <w:r>
        <w:rPr>
          <w:rFonts w:ascii="Calibri" w:hAnsi="Calibri" w:cs="Calibri"/>
          <w:bCs/>
          <w:color w:val="000000"/>
          <w:szCs w:val="20"/>
        </w:rPr>
        <w:t>Nordic</w:t>
      </w:r>
      <w:r w:rsidRPr="00A12A30">
        <w:rPr>
          <w:rFonts w:ascii="Calibri" w:hAnsi="Calibri" w:cs="Calibri"/>
          <w:bCs/>
          <w:color w:val="000000"/>
          <w:szCs w:val="20"/>
        </w:rPr>
        <w:t xml:space="preserve"> </w:t>
      </w:r>
      <w:r>
        <w:rPr>
          <w:rFonts w:ascii="Calibri" w:hAnsi="Calibri" w:cs="Calibri"/>
          <w:bCs/>
          <w:color w:val="000000"/>
          <w:szCs w:val="20"/>
        </w:rPr>
        <w:t>state.</w:t>
      </w:r>
      <w:r w:rsidR="007C3479">
        <w:rPr>
          <w:rStyle w:val="FootnoteReference"/>
        </w:rPr>
        <w:footnoteReference w:id="3"/>
      </w:r>
      <w:r>
        <w:rPr>
          <w:rFonts w:ascii="Calibri" w:hAnsi="Calibri" w:cs="Calibri"/>
          <w:bCs/>
          <w:color w:val="000000"/>
          <w:szCs w:val="20"/>
        </w:rPr>
        <w:t xml:space="preserve"> </w:t>
      </w:r>
      <w:r w:rsidR="00DB77FB">
        <w:t xml:space="preserve">Passed in 2016, a new section 32(5) of the Immigration Act opens for immediate rejection by police officers of asylum-seekers at Norway’s borders with neighbouring Nordic countries “in a crisis situation with an extraordinarily high number of arriving asylum seekers.” Application of this provision requires prior activation by the King in Council, which in practice means by the government. The preparatory works explicitly presume that, if activated, Norway will cease to abide by the Dublin III regulation as a response to a collapse of the Dublin system </w:t>
      </w:r>
      <w:r w:rsidR="00DB2788">
        <w:t>when</w:t>
      </w:r>
      <w:r w:rsidR="00DB77FB">
        <w:t xml:space="preserve"> other states stop registering a large number of asylum-seekers transiting through their territory.</w:t>
      </w:r>
    </w:p>
    <w:p w:rsidR="008F238F" w:rsidP="003C7A2D" w:rsidRDefault="008F238F" w14:paraId="7DDAE50D" w14:textId="355C9FE5">
      <w:pPr>
        <w:spacing w:after="0" w:line="240" w:lineRule="auto"/>
        <w:jc w:val="both"/>
      </w:pPr>
    </w:p>
    <w:p w:rsidR="003C7A2D" w:rsidP="003C7A2D" w:rsidRDefault="003C7A2D" w14:paraId="3D6ED4A1" w14:textId="77777777">
      <w:pPr>
        <w:spacing w:after="0" w:line="240" w:lineRule="auto"/>
        <w:jc w:val="both"/>
      </w:pPr>
    </w:p>
    <w:p w:rsidRPr="00586F0D" w:rsidR="00586F0D" w:rsidP="00B0377E" w:rsidRDefault="00586F0D" w14:paraId="222A42C2" w14:textId="6CE02E97">
      <w:pPr>
        <w:pStyle w:val="ListParagraph"/>
        <w:numPr>
          <w:ilvl w:val="0"/>
          <w:numId w:val="2"/>
        </w:numPr>
        <w:tabs>
          <w:tab w:val="left" w:pos="469"/>
        </w:tabs>
        <w:spacing w:before="84" w:after="3" w:line="302" w:lineRule="auto"/>
        <w:ind w:right="286"/>
        <w:jc w:val="both"/>
        <w:rPr>
          <w:b/>
          <w:sz w:val="21"/>
        </w:rPr>
      </w:pPr>
      <w:r>
        <w:rPr>
          <w:b/>
          <w:color w:val="333399"/>
          <w:sz w:val="21"/>
        </w:rPr>
        <w:t xml:space="preserve">Special procedures (including border procedures, procedures in transit zones, accelerated procedures, admissibility procedures, </w:t>
      </w:r>
      <w:proofErr w:type="spellStart"/>
      <w:r>
        <w:rPr>
          <w:b/>
          <w:color w:val="333399"/>
          <w:sz w:val="21"/>
        </w:rPr>
        <w:t>prioritised</w:t>
      </w:r>
      <w:proofErr w:type="spellEnd"/>
      <w:r>
        <w:rPr>
          <w:b/>
          <w:color w:val="333399"/>
          <w:sz w:val="21"/>
        </w:rPr>
        <w:t xml:space="preserve"> procedures or any special procedure for </w:t>
      </w:r>
      <w:r>
        <w:rPr>
          <w:b/>
          <w:color w:val="333399"/>
          <w:spacing w:val="-3"/>
          <w:sz w:val="21"/>
        </w:rPr>
        <w:t xml:space="preserve">selected </w:t>
      </w:r>
      <w:r>
        <w:rPr>
          <w:b/>
          <w:color w:val="333399"/>
          <w:sz w:val="21"/>
        </w:rPr>
        <w:t>caseloads)</w:t>
      </w:r>
    </w:p>
    <w:p w:rsidR="00586F0D" w:rsidP="00132DC6" w:rsidRDefault="00586F0D" w14:paraId="6F68369C" w14:textId="6BDF1303">
      <w:pPr>
        <w:spacing w:after="0" w:line="240" w:lineRule="auto"/>
        <w:jc w:val="both"/>
      </w:pPr>
    </w:p>
    <w:p w:rsidR="00B47840" w:rsidP="00132DC6" w:rsidRDefault="00F829B8" w14:paraId="2E0694D2" w14:textId="3FABE820">
      <w:pPr>
        <w:spacing w:after="0" w:line="240" w:lineRule="auto"/>
        <w:jc w:val="both"/>
      </w:pPr>
      <w:r>
        <w:t xml:space="preserve">As mentioned above, one of the main concerns remains Norway’s safe third country provision, namely </w:t>
      </w:r>
      <w:r>
        <w:rPr>
          <w:rFonts w:ascii="Calibri" w:hAnsi="Calibri" w:cs="Calibri"/>
          <w:b/>
          <w:color w:val="000000"/>
          <w:szCs w:val="20"/>
        </w:rPr>
        <w:t>s</w:t>
      </w:r>
      <w:r w:rsidRPr="00EC27C0">
        <w:rPr>
          <w:rFonts w:ascii="Calibri" w:hAnsi="Calibri" w:cs="Calibri"/>
          <w:b/>
          <w:color w:val="000000"/>
          <w:szCs w:val="20"/>
        </w:rPr>
        <w:t>ection 32(1)(d)</w:t>
      </w:r>
      <w:r>
        <w:rPr>
          <w:rFonts w:ascii="Calibri" w:hAnsi="Calibri" w:cs="Calibri"/>
          <w:bCs/>
          <w:color w:val="000000"/>
          <w:szCs w:val="20"/>
        </w:rPr>
        <w:t xml:space="preserve"> of the Norwegian Immigration Act, which </w:t>
      </w:r>
      <w:hyperlink w:history="1" r:id="rId14">
        <w:r w:rsidRPr="00132DC6">
          <w:rPr>
            <w:rStyle w:val="Hyperlink"/>
          </w:rPr>
          <w:t>falls short of</w:t>
        </w:r>
      </w:hyperlink>
      <w:r>
        <w:t xml:space="preserve"> the requirements of Article 3(3) of the Dublin III Regulation and Article 38(1)(e) of the EU Procedures Directive (APD). </w:t>
      </w:r>
      <w:r w:rsidR="00936ADB">
        <w:t>According to the Norwegian safe third country provision, a</w:t>
      </w:r>
      <w:r>
        <w:t xml:space="preserve">sylum applications may be declared inadmissible where “the applicant has travelled to the realm after having stayed in a state or an area where the foreign national was not persecuted”. Introduced on </w:t>
      </w:r>
      <w:r>
        <w:rPr>
          <w:rFonts w:cstheme="minorHAnsi"/>
          <w:bCs/>
          <w:color w:val="000000"/>
          <w:szCs w:val="20"/>
        </w:rPr>
        <w:t>20 November 2015</w:t>
      </w:r>
      <w:r w:rsidR="00936ADB">
        <w:rPr>
          <w:rFonts w:cstheme="minorHAnsi"/>
          <w:bCs/>
          <w:color w:val="000000"/>
          <w:szCs w:val="20"/>
        </w:rPr>
        <w:t xml:space="preserve"> as a response to an influx of asylum seekers entering Norway’s territory from Russia, it </w:t>
      </w:r>
      <w:r>
        <w:t xml:space="preserve">has since been applied also in respect to </w:t>
      </w:r>
      <w:r w:rsidR="00936ADB">
        <w:t xml:space="preserve">other </w:t>
      </w:r>
      <w:r>
        <w:t>third countries</w:t>
      </w:r>
      <w:r w:rsidR="00936ADB">
        <w:t>, including</w:t>
      </w:r>
      <w:r>
        <w:t xml:space="preserve"> Brazil, Ukraine</w:t>
      </w:r>
      <w:r w:rsidR="00936ADB">
        <w:t xml:space="preserve"> and</w:t>
      </w:r>
      <w:r>
        <w:t xml:space="preserve"> United Arab Emirates</w:t>
      </w:r>
      <w:r w:rsidR="00936ADB">
        <w:t xml:space="preserve"> – the last of which has not even signed the Refugee Convention and has no corresponding protection regime</w:t>
      </w:r>
      <w:r w:rsidR="00132DC6">
        <w:t>.</w:t>
      </w:r>
      <w:r>
        <w:t xml:space="preserve"> </w:t>
      </w:r>
      <w:r w:rsidR="00936ADB">
        <w:t xml:space="preserve">It has also been applied in respect to member states, including </w:t>
      </w:r>
      <w:r>
        <w:t>Malta, Hungary, Romania, Italy and Greece</w:t>
      </w:r>
      <w:r w:rsidR="00936ADB">
        <w:t>, prompting disapproval on the part of Greek authorities</w:t>
      </w:r>
      <w:r>
        <w:t>.</w:t>
      </w:r>
      <w:r w:rsidR="007C3479">
        <w:rPr>
          <w:rStyle w:val="FootnoteReference"/>
        </w:rPr>
        <w:footnoteReference w:id="4"/>
      </w:r>
    </w:p>
    <w:p w:rsidR="003C7A2D" w:rsidP="00132DC6" w:rsidRDefault="003C7A2D" w14:paraId="30632039" w14:textId="77777777">
      <w:pPr>
        <w:spacing w:after="0" w:line="240" w:lineRule="auto"/>
        <w:jc w:val="both"/>
      </w:pPr>
    </w:p>
    <w:p w:rsidR="00132DC6" w:rsidP="00132DC6" w:rsidRDefault="00132DC6" w14:paraId="64B5D825" w14:textId="2F31F555">
      <w:pPr>
        <w:spacing w:after="0" w:line="240" w:lineRule="auto"/>
        <w:jc w:val="both"/>
      </w:pPr>
    </w:p>
    <w:p w:rsidRPr="004C088F" w:rsidR="00586F0D" w:rsidP="00B0377E" w:rsidRDefault="00586F0D" w14:paraId="2A81C90F" w14:textId="3C62E2BD">
      <w:pPr>
        <w:pStyle w:val="ListParagraph"/>
        <w:numPr>
          <w:ilvl w:val="0"/>
          <w:numId w:val="2"/>
        </w:numPr>
        <w:tabs>
          <w:tab w:val="left" w:pos="469"/>
        </w:tabs>
        <w:spacing w:after="3" w:line="302" w:lineRule="auto"/>
        <w:ind w:right="427"/>
        <w:jc w:val="both"/>
        <w:rPr>
          <w:b/>
          <w:sz w:val="21"/>
        </w:rPr>
      </w:pPr>
      <w:r>
        <w:rPr>
          <w:b/>
          <w:color w:val="333399"/>
          <w:sz w:val="21"/>
        </w:rPr>
        <w:t xml:space="preserve">Reception of applicants for international protection (including information on reception capacities – increase/decrease/stable, material reception conditions - housing, food, clothing </w:t>
      </w:r>
      <w:r>
        <w:rPr>
          <w:b/>
          <w:color w:val="333399"/>
          <w:spacing w:val="-6"/>
          <w:sz w:val="21"/>
        </w:rPr>
        <w:t xml:space="preserve">and </w:t>
      </w:r>
      <w:r>
        <w:rPr>
          <w:b/>
          <w:color w:val="333399"/>
          <w:sz w:val="21"/>
        </w:rPr>
        <w:t xml:space="preserve">financial support, contingency planning in reception, access to the </w:t>
      </w:r>
      <w:proofErr w:type="spellStart"/>
      <w:r>
        <w:rPr>
          <w:b/>
          <w:color w:val="333399"/>
          <w:sz w:val="21"/>
        </w:rPr>
        <w:t>labour</w:t>
      </w:r>
      <w:proofErr w:type="spellEnd"/>
      <w:r>
        <w:rPr>
          <w:b/>
          <w:color w:val="333399"/>
          <w:sz w:val="21"/>
        </w:rPr>
        <w:t xml:space="preserve"> market and vocational training, medical care, schooling and education, residence and freedom of movement)</w:t>
      </w:r>
    </w:p>
    <w:p w:rsidRPr="004C088F" w:rsidR="004C088F" w:rsidP="004C088F" w:rsidRDefault="004C088F" w14:paraId="38A13438" w14:textId="77777777">
      <w:pPr>
        <w:pStyle w:val="ListParagraph"/>
        <w:tabs>
          <w:tab w:val="left" w:pos="469"/>
        </w:tabs>
        <w:spacing w:after="3" w:line="302" w:lineRule="auto"/>
        <w:ind w:left="720" w:right="427"/>
        <w:jc w:val="both"/>
        <w:rPr>
          <w:b/>
          <w:sz w:val="21"/>
        </w:rPr>
      </w:pPr>
    </w:p>
    <w:p w:rsidRPr="00CC3089" w:rsidR="00CC3089" w:rsidP="004C088F" w:rsidRDefault="00CC3089" w14:paraId="6576CCC3" w14:textId="77777777">
      <w:pPr>
        <w:pStyle w:val="xsingletxtg"/>
        <w:shd w:val="clear" w:color="auto" w:fill="FFFFFF"/>
        <w:spacing w:before="0" w:beforeAutospacing="0" w:after="0" w:afterAutospacing="0"/>
        <w:jc w:val="both"/>
        <w:rPr>
          <w:rFonts w:asciiTheme="minorHAnsi" w:hAnsiTheme="minorHAnsi" w:cstheme="minorHAnsi"/>
          <w:color w:val="201F1E"/>
          <w:sz w:val="22"/>
          <w:szCs w:val="22"/>
          <w:u w:val="single"/>
          <w:bdr w:val="none" w:color="auto" w:sz="0" w:space="0" w:frame="1"/>
          <w:lang w:val="en-GB"/>
        </w:rPr>
      </w:pPr>
      <w:r w:rsidRPr="00CC3089">
        <w:rPr>
          <w:rFonts w:asciiTheme="minorHAnsi" w:hAnsiTheme="minorHAnsi" w:cstheme="minorHAnsi"/>
          <w:color w:val="201F1E"/>
          <w:sz w:val="22"/>
          <w:szCs w:val="22"/>
          <w:u w:val="single"/>
          <w:bdr w:val="none" w:color="auto" w:sz="0" w:space="0" w:frame="1"/>
          <w:lang w:val="en-GB"/>
        </w:rPr>
        <w:t xml:space="preserve">Unaccompanied minors: </w:t>
      </w:r>
    </w:p>
    <w:p w:rsidRPr="004C088F" w:rsidR="004C088F" w:rsidP="004C088F" w:rsidRDefault="004C088F" w14:paraId="17207824" w14:textId="6E35ACAF">
      <w:pPr>
        <w:pStyle w:val="xsingletxtg"/>
        <w:shd w:val="clear" w:color="auto" w:fill="FFFFFF"/>
        <w:spacing w:before="0" w:beforeAutospacing="0" w:after="0" w:afterAutospacing="0"/>
        <w:jc w:val="both"/>
        <w:rPr>
          <w:rFonts w:asciiTheme="minorHAnsi" w:hAnsiTheme="minorHAnsi" w:cstheme="minorHAnsi"/>
          <w:color w:val="201F1E"/>
          <w:sz w:val="22"/>
          <w:szCs w:val="22"/>
          <w:bdr w:val="none" w:color="auto" w:sz="0" w:space="0" w:frame="1"/>
          <w:lang w:val="en-GB"/>
        </w:rPr>
      </w:pPr>
      <w:r w:rsidRPr="004C088F">
        <w:rPr>
          <w:rFonts w:asciiTheme="minorHAnsi" w:hAnsiTheme="minorHAnsi" w:cstheme="minorHAnsi"/>
          <w:color w:val="201F1E"/>
          <w:sz w:val="22"/>
          <w:szCs w:val="22"/>
          <w:bdr w:val="none" w:color="auto" w:sz="0" w:space="0" w:frame="1"/>
          <w:lang w:val="en-GB"/>
        </w:rPr>
        <w:t>It is still the Norwegian Directorate of Immigration that is res</w:t>
      </w:r>
      <w:r w:rsidR="00B070DF">
        <w:rPr>
          <w:rFonts w:asciiTheme="minorHAnsi" w:hAnsiTheme="minorHAnsi" w:cstheme="minorHAnsi"/>
          <w:color w:val="201F1E"/>
          <w:sz w:val="22"/>
          <w:szCs w:val="22"/>
          <w:bdr w:val="none" w:color="auto" w:sz="0" w:space="0" w:frame="1"/>
          <w:lang w:val="en-GB"/>
        </w:rPr>
        <w:t xml:space="preserve">ponsible for the </w:t>
      </w:r>
      <w:r w:rsidRPr="004C088F">
        <w:rPr>
          <w:rFonts w:asciiTheme="minorHAnsi" w:hAnsiTheme="minorHAnsi" w:cstheme="minorHAnsi"/>
          <w:color w:val="201F1E"/>
          <w:sz w:val="22"/>
          <w:szCs w:val="22"/>
          <w:bdr w:val="none" w:color="auto" w:sz="0" w:space="0" w:frame="1"/>
          <w:lang w:val="en-GB"/>
        </w:rPr>
        <w:t xml:space="preserve">care of unaccompanied asylum seeking children between the ages of 15 and 18. </w:t>
      </w:r>
    </w:p>
    <w:p w:rsidRPr="004C088F" w:rsidR="004C088F" w:rsidP="004C088F" w:rsidRDefault="004C088F" w14:paraId="53ADB56C" w14:textId="77777777">
      <w:pPr>
        <w:pStyle w:val="xsingletxtg"/>
        <w:shd w:val="clear" w:color="auto" w:fill="FFFFFF"/>
        <w:spacing w:before="0" w:beforeAutospacing="0" w:after="0" w:afterAutospacing="0"/>
        <w:jc w:val="both"/>
        <w:rPr>
          <w:rFonts w:asciiTheme="minorHAnsi" w:hAnsiTheme="minorHAnsi" w:cstheme="minorHAnsi"/>
          <w:color w:val="201F1E"/>
          <w:sz w:val="22"/>
          <w:szCs w:val="22"/>
          <w:bdr w:val="none" w:color="auto" w:sz="0" w:space="0" w:frame="1"/>
          <w:lang w:val="en-GB"/>
        </w:rPr>
      </w:pPr>
    </w:p>
    <w:p w:rsidRPr="004C088F" w:rsidR="004C088F" w:rsidP="004C088F" w:rsidRDefault="004C088F" w14:paraId="4A15E0DA" w14:textId="416E0B32">
      <w:pPr>
        <w:pStyle w:val="xsingletxtg"/>
        <w:shd w:val="clear" w:color="auto" w:fill="FFFFFF"/>
        <w:spacing w:before="0" w:beforeAutospacing="0" w:after="0" w:afterAutospacing="0"/>
        <w:jc w:val="both"/>
        <w:rPr>
          <w:rFonts w:asciiTheme="minorHAnsi" w:hAnsiTheme="minorHAnsi" w:cstheme="minorHAnsi"/>
          <w:color w:val="201F1E"/>
          <w:sz w:val="22"/>
          <w:szCs w:val="22"/>
          <w:bdr w:val="none" w:color="auto" w:sz="0" w:space="0" w:frame="1"/>
          <w:lang w:val="en-GB"/>
        </w:rPr>
      </w:pPr>
      <w:r w:rsidRPr="004C088F">
        <w:rPr>
          <w:rFonts w:asciiTheme="minorHAnsi" w:hAnsiTheme="minorHAnsi" w:cstheme="minorHAnsi"/>
          <w:color w:val="201F1E"/>
          <w:sz w:val="22"/>
          <w:szCs w:val="22"/>
          <w:bdr w:val="none" w:color="auto" w:sz="0" w:space="0" w:frame="1"/>
          <w:lang w:val="en-GB"/>
        </w:rPr>
        <w:t xml:space="preserve">A </w:t>
      </w:r>
      <w:hyperlink w:history="1" r:id="rId15">
        <w:r w:rsidRPr="004C088F">
          <w:rPr>
            <w:rStyle w:val="Hyperlink"/>
            <w:rFonts w:asciiTheme="minorHAnsi" w:hAnsiTheme="minorHAnsi" w:cstheme="minorHAnsi"/>
            <w:sz w:val="22"/>
            <w:szCs w:val="22"/>
            <w:bdr w:val="none" w:color="auto" w:sz="0" w:space="0" w:frame="1"/>
            <w:lang w:val="en-GB"/>
          </w:rPr>
          <w:t>report</w:t>
        </w:r>
      </w:hyperlink>
      <w:r w:rsidRPr="004C088F">
        <w:rPr>
          <w:rFonts w:asciiTheme="minorHAnsi" w:hAnsiTheme="minorHAnsi" w:cstheme="minorHAnsi"/>
          <w:color w:val="201F1E"/>
          <w:sz w:val="22"/>
          <w:szCs w:val="22"/>
          <w:bdr w:val="none" w:color="auto" w:sz="0" w:space="0" w:frame="1"/>
          <w:lang w:val="en-GB"/>
        </w:rPr>
        <w:t xml:space="preserve"> by the Norwegian National Human Rights Institution (NHRI) shows significant differences in the care provided in reception centres for unaccompanied asylum seekers between the age of 15 and 18 as compared to the care provided for unaccompanied minors under the age of 15 and to other children under the responsibility of the Child Welfare Services. NHRI has concluded that the differential treatment of the children between the ages of 1</w:t>
      </w:r>
      <w:r w:rsidR="00C02B25">
        <w:rPr>
          <w:rFonts w:asciiTheme="minorHAnsi" w:hAnsiTheme="minorHAnsi" w:cstheme="minorHAnsi"/>
          <w:color w:val="201F1E"/>
          <w:sz w:val="22"/>
          <w:szCs w:val="22"/>
          <w:bdr w:val="none" w:color="auto" w:sz="0" w:space="0" w:frame="1"/>
          <w:lang w:val="en-GB"/>
        </w:rPr>
        <w:t>5 and 18, is</w:t>
      </w:r>
      <w:r w:rsidRPr="004C088F">
        <w:rPr>
          <w:rFonts w:asciiTheme="minorHAnsi" w:hAnsiTheme="minorHAnsi" w:cstheme="minorHAnsi"/>
          <w:color w:val="201F1E"/>
          <w:sz w:val="22"/>
          <w:szCs w:val="22"/>
          <w:bdr w:val="none" w:color="auto" w:sz="0" w:space="0" w:frame="1"/>
          <w:lang w:val="en-GB"/>
        </w:rPr>
        <w:t xml:space="preserve"> in breach of the UN Convention on the Rights of the Child.  </w:t>
      </w:r>
    </w:p>
    <w:p w:rsidRPr="004C088F" w:rsidR="004C088F" w:rsidP="004C088F" w:rsidRDefault="004C088F" w14:paraId="2AC1439D" w14:textId="77777777">
      <w:pPr>
        <w:pStyle w:val="xmsonormal"/>
        <w:shd w:val="clear" w:color="auto" w:fill="FFFFFF"/>
        <w:spacing w:before="0" w:beforeAutospacing="0" w:after="0" w:afterAutospacing="0"/>
        <w:rPr>
          <w:rFonts w:asciiTheme="minorHAnsi" w:hAnsiTheme="minorHAnsi" w:cstheme="minorHAnsi"/>
          <w:color w:val="201F1E"/>
          <w:sz w:val="22"/>
          <w:szCs w:val="22"/>
          <w:lang w:val="en-GB"/>
        </w:rPr>
      </w:pPr>
      <w:r w:rsidRPr="004C088F">
        <w:rPr>
          <w:rFonts w:asciiTheme="minorHAnsi" w:hAnsiTheme="minorHAnsi" w:cstheme="minorHAnsi"/>
          <w:color w:val="201F1E"/>
          <w:sz w:val="22"/>
          <w:szCs w:val="22"/>
          <w:bdr w:val="none" w:color="auto" w:sz="0" w:space="0" w:frame="1"/>
          <w:lang w:val="en-GB"/>
        </w:rPr>
        <w:t> </w:t>
      </w:r>
    </w:p>
    <w:p w:rsidRPr="004C088F" w:rsidR="004C088F" w:rsidP="004C088F" w:rsidRDefault="004C088F" w14:paraId="534BAD62" w14:textId="303A8A86">
      <w:pPr>
        <w:pStyle w:val="xmsonormal"/>
        <w:shd w:val="clear" w:color="auto" w:fill="FFFFFF"/>
        <w:spacing w:before="0" w:beforeAutospacing="0" w:after="0" w:afterAutospacing="0"/>
        <w:rPr>
          <w:rFonts w:asciiTheme="minorHAnsi" w:hAnsiTheme="minorHAnsi" w:cstheme="minorHAnsi"/>
          <w:color w:val="201F1E"/>
          <w:sz w:val="22"/>
          <w:szCs w:val="22"/>
          <w:lang w:val="en-GB"/>
        </w:rPr>
      </w:pPr>
      <w:r w:rsidRPr="004C088F">
        <w:rPr>
          <w:rFonts w:asciiTheme="minorHAnsi" w:hAnsiTheme="minorHAnsi" w:cstheme="minorHAnsi"/>
          <w:color w:val="201F1E"/>
          <w:sz w:val="22"/>
          <w:szCs w:val="22"/>
          <w:bdr w:val="none" w:color="auto" w:sz="0" w:space="0" w:frame="1"/>
          <w:lang w:val="en-GB"/>
        </w:rPr>
        <w:t xml:space="preserve">The UN Committee Against Torture, The UN Committee on the Elimination of Racial Discrimination, The UN Committee on the Rights of the Child, The Human Rights Committee and the UN Human </w:t>
      </w:r>
      <w:r w:rsidRPr="004C088F">
        <w:rPr>
          <w:rFonts w:asciiTheme="minorHAnsi" w:hAnsiTheme="minorHAnsi" w:cstheme="minorHAnsi"/>
          <w:color w:val="201F1E"/>
          <w:sz w:val="22"/>
          <w:szCs w:val="22"/>
          <w:bdr w:val="none" w:color="auto" w:sz="0" w:space="0" w:frame="1"/>
          <w:lang w:val="en-GB"/>
        </w:rPr>
        <w:lastRenderedPageBreak/>
        <w:t>Rights Council</w:t>
      </w:r>
      <w:r w:rsidR="00DE1E42">
        <w:rPr>
          <w:rFonts w:asciiTheme="minorHAnsi" w:hAnsiTheme="minorHAnsi" w:cstheme="minorHAnsi"/>
          <w:color w:val="201F1E"/>
          <w:sz w:val="22"/>
          <w:szCs w:val="22"/>
          <w:bdr w:val="none" w:color="auto" w:sz="0" w:space="0" w:frame="1"/>
          <w:lang w:val="en-GB"/>
        </w:rPr>
        <w:t xml:space="preserve"> has recommended that </w:t>
      </w:r>
      <w:r w:rsidRPr="004C088F" w:rsidR="00DE1E42">
        <w:rPr>
          <w:rFonts w:asciiTheme="minorHAnsi" w:hAnsiTheme="minorHAnsi" w:cstheme="minorHAnsi"/>
          <w:color w:val="201F1E"/>
          <w:sz w:val="22"/>
          <w:szCs w:val="22"/>
          <w:bdr w:val="none" w:color="auto" w:sz="0" w:space="0" w:frame="1"/>
          <w:lang w:val="en-GB"/>
        </w:rPr>
        <w:t>the protection and care for these children are provided by the Child Welfare Services</w:t>
      </w:r>
      <w:r w:rsidRPr="004C088F">
        <w:rPr>
          <w:rFonts w:asciiTheme="minorHAnsi" w:hAnsiTheme="minorHAnsi" w:cstheme="minorHAnsi"/>
          <w:color w:val="201F1E"/>
          <w:sz w:val="22"/>
          <w:szCs w:val="22"/>
          <w:bdr w:val="none" w:color="auto" w:sz="0" w:space="0" w:frame="1"/>
          <w:lang w:val="en-GB"/>
        </w:rPr>
        <w:t>.</w:t>
      </w:r>
    </w:p>
    <w:p w:rsidR="004C088F" w:rsidP="004C088F" w:rsidRDefault="004C088F" w14:paraId="2D5C45B5" w14:textId="77777777">
      <w:pPr>
        <w:spacing w:after="0" w:line="240" w:lineRule="auto"/>
        <w:jc w:val="both"/>
      </w:pPr>
    </w:p>
    <w:p w:rsidR="00B47840" w:rsidP="000F7F1E" w:rsidRDefault="004C088F" w14:paraId="05C6AC92" w14:textId="1C769862">
      <w:pPr>
        <w:spacing w:after="0" w:line="240" w:lineRule="auto"/>
        <w:jc w:val="both"/>
      </w:pPr>
      <w:r>
        <w:t>As a follow up of</w:t>
      </w:r>
      <w:r w:rsidR="00E32F53">
        <w:t xml:space="preserve"> a </w:t>
      </w:r>
      <w:hyperlink w:history="1" r:id="rId16">
        <w:r w:rsidRPr="00E32F53" w:rsidR="00E32F53">
          <w:rPr>
            <w:rStyle w:val="Hyperlink"/>
          </w:rPr>
          <w:t>decision</w:t>
        </w:r>
      </w:hyperlink>
      <w:r w:rsidR="00E32F53">
        <w:t xml:space="preserve"> in the Norwegian parliament in 2017, </w:t>
      </w:r>
      <w:r>
        <w:t xml:space="preserve">the government </w:t>
      </w:r>
      <w:hyperlink w:history="1" r:id="rId17">
        <w:r w:rsidRPr="004C088F">
          <w:rPr>
            <w:rStyle w:val="Hyperlink"/>
          </w:rPr>
          <w:t>submitted a bill</w:t>
        </w:r>
      </w:hyperlink>
      <w:r>
        <w:t xml:space="preserve"> to the parliament in February 2021 regarding the care of unaccompanied minor asylum seekers. What the government suggests is</w:t>
      </w:r>
      <w:r w:rsidR="00E93D79">
        <w:t xml:space="preserve"> however that the current system</w:t>
      </w:r>
      <w:r>
        <w:t xml:space="preserve"> and level of care provide</w:t>
      </w:r>
      <w:r w:rsidR="00E93D79">
        <w:t xml:space="preserve">d is regulated, without suggesting to improve the actual care given. </w:t>
      </w:r>
      <w:r>
        <w:t xml:space="preserve"> </w:t>
      </w:r>
    </w:p>
    <w:p w:rsidR="003C7A2D" w:rsidP="000F7F1E" w:rsidRDefault="003C7A2D" w14:paraId="5ABC52AA" w14:textId="6AD8C7C6">
      <w:pPr>
        <w:spacing w:after="0" w:line="240" w:lineRule="auto"/>
        <w:jc w:val="both"/>
      </w:pPr>
    </w:p>
    <w:p w:rsidRPr="00CC3089" w:rsidR="00CC3089" w:rsidP="000F7F1E" w:rsidRDefault="00CC3089" w14:paraId="05C739C0" w14:textId="39BB10F0">
      <w:pPr>
        <w:spacing w:after="0" w:line="240" w:lineRule="auto"/>
        <w:jc w:val="both"/>
        <w:rPr>
          <w:u w:val="single"/>
        </w:rPr>
      </w:pPr>
      <w:r w:rsidRPr="00CC3089">
        <w:rPr>
          <w:u w:val="single"/>
        </w:rPr>
        <w:t>Access to the labour market:</w:t>
      </w:r>
    </w:p>
    <w:p w:rsidR="00CC3089" w:rsidP="003C7A2D" w:rsidRDefault="00EB38C0" w14:paraId="5885AA77" w14:textId="07EA9BEF">
      <w:pPr>
        <w:spacing w:after="0" w:line="240" w:lineRule="auto"/>
        <w:jc w:val="both"/>
      </w:pPr>
      <w:r>
        <w:t>Most asylum seekers are still not allowed to take paid work while waiting for their asylum case to be processed. The requirement</w:t>
      </w:r>
      <w:r w:rsidR="000D3E55">
        <w:t>s</w:t>
      </w:r>
      <w:r>
        <w:t xml:space="preserve"> to get a </w:t>
      </w:r>
      <w:hyperlink w:history="1" w:anchor="link-8814" r:id="rId18">
        <w:r w:rsidRPr="000F7F1E">
          <w:rPr>
            <w:rStyle w:val="Hyperlink"/>
          </w:rPr>
          <w:t>temporary work permit</w:t>
        </w:r>
      </w:hyperlink>
      <w:r w:rsidR="000D3E55">
        <w:t xml:space="preserve">, are </w:t>
      </w:r>
      <w:r>
        <w:t xml:space="preserve">normally that the asylum interview has been completed and that the asylum seeker has a valid passport. Exceptions can be made from the asylum interview requirement in cases where there is a </w:t>
      </w:r>
      <w:r w:rsidR="00E83557">
        <w:t xml:space="preserve">statistically </w:t>
      </w:r>
      <w:r>
        <w:t xml:space="preserve">high likelihood that the person will </w:t>
      </w:r>
      <w:r w:rsidR="00AF6BD2">
        <w:t xml:space="preserve">be granted </w:t>
      </w:r>
      <w:r>
        <w:t>protection in Norway</w:t>
      </w:r>
      <w:r w:rsidR="00E83557">
        <w:t xml:space="preserve"> (currently applicable to Syrian and</w:t>
      </w:r>
      <w:r w:rsidR="007F4FA1">
        <w:t xml:space="preserve"> Turkish nationals only)</w:t>
      </w:r>
      <w:r>
        <w:t xml:space="preserve">. Asylum seekers living in so called </w:t>
      </w:r>
      <w:hyperlink w:history="1" r:id="rId19">
        <w:r w:rsidRPr="000F7F1E">
          <w:rPr>
            <w:rStyle w:val="Hyperlink"/>
          </w:rPr>
          <w:t>integration receptions centres</w:t>
        </w:r>
      </w:hyperlink>
      <w:r>
        <w:t xml:space="preserve"> can be exempted from the passport requirement, but only a small percentage of asylum seekers live</w:t>
      </w:r>
      <w:r w:rsidR="000F7F1E">
        <w:t xml:space="preserve"> in integration reception</w:t>
      </w:r>
      <w:r>
        <w:t xml:space="preserve"> centres. </w:t>
      </w:r>
    </w:p>
    <w:p w:rsidRPr="007C3479" w:rsidR="00B47840" w:rsidP="003C7A2D" w:rsidRDefault="00B47840" w14:paraId="37FEA6EF" w14:textId="6575E3F3">
      <w:pPr>
        <w:spacing w:after="0" w:line="240" w:lineRule="auto"/>
        <w:jc w:val="both"/>
      </w:pPr>
    </w:p>
    <w:p w:rsidRPr="007C3479" w:rsidR="003C7A2D" w:rsidP="003C7A2D" w:rsidRDefault="003C7A2D" w14:paraId="76B6DFD4" w14:textId="77777777">
      <w:pPr>
        <w:spacing w:after="0" w:line="240" w:lineRule="auto"/>
        <w:jc w:val="both"/>
      </w:pPr>
    </w:p>
    <w:p w:rsidR="00586F0D" w:rsidP="00B0377E" w:rsidRDefault="00586F0D" w14:paraId="58217E75" w14:textId="357F297A">
      <w:pPr>
        <w:pStyle w:val="ListParagraph"/>
        <w:numPr>
          <w:ilvl w:val="0"/>
          <w:numId w:val="2"/>
        </w:numPr>
        <w:tabs>
          <w:tab w:val="left" w:pos="469"/>
        </w:tabs>
        <w:jc w:val="both"/>
        <w:rPr>
          <w:b/>
          <w:color w:val="333399"/>
          <w:sz w:val="21"/>
        </w:rPr>
      </w:pPr>
      <w:r>
        <w:rPr>
          <w:b/>
          <w:color w:val="333399"/>
          <w:sz w:val="21"/>
        </w:rPr>
        <w:t xml:space="preserve">Detention of applicants for international protection (including detention capacity – increase </w:t>
      </w:r>
      <w:r w:rsidRPr="00586F0D">
        <w:rPr>
          <w:b/>
          <w:color w:val="333399"/>
          <w:sz w:val="21"/>
        </w:rPr>
        <w:t>/decrease/stable, practices regarding detention, grounds for detention, alternatives to detention, time limit for detention)</w:t>
      </w:r>
    </w:p>
    <w:p w:rsidR="00B47840" w:rsidP="00212898" w:rsidRDefault="00B47840" w14:paraId="3680DB33" w14:textId="41183574">
      <w:pPr>
        <w:spacing w:after="0" w:line="240" w:lineRule="auto"/>
        <w:jc w:val="both"/>
      </w:pPr>
    </w:p>
    <w:p w:rsidR="00B47840" w:rsidP="00B0377E" w:rsidRDefault="00212898" w14:paraId="4EE1F7E5" w14:textId="2D933152">
      <w:pPr>
        <w:jc w:val="both"/>
      </w:pPr>
      <w:r>
        <w:t>-</w:t>
      </w:r>
    </w:p>
    <w:p w:rsidR="00212898" w:rsidP="00B0377E" w:rsidRDefault="00212898" w14:paraId="02D7F32E" w14:textId="77777777">
      <w:pPr>
        <w:jc w:val="both"/>
      </w:pPr>
    </w:p>
    <w:p w:rsidR="00586F0D" w:rsidP="00B0377E" w:rsidRDefault="00586F0D" w14:paraId="6A66FFD0" w14:textId="284034E5">
      <w:pPr>
        <w:pStyle w:val="ListParagraph"/>
        <w:numPr>
          <w:ilvl w:val="0"/>
          <w:numId w:val="2"/>
        </w:numPr>
        <w:tabs>
          <w:tab w:val="left" w:pos="469"/>
        </w:tabs>
        <w:jc w:val="both"/>
        <w:rPr>
          <w:b/>
          <w:color w:val="333399"/>
          <w:sz w:val="21"/>
        </w:rPr>
      </w:pPr>
      <w:r>
        <w:rPr>
          <w:b/>
          <w:color w:val="333399"/>
          <w:sz w:val="21"/>
        </w:rPr>
        <w:t xml:space="preserve">Procedures at first instance (including relevant changes in: the authority in charge, </w:t>
      </w:r>
      <w:proofErr w:type="spellStart"/>
      <w:r>
        <w:rPr>
          <w:b/>
          <w:color w:val="333399"/>
          <w:spacing w:val="-2"/>
          <w:sz w:val="21"/>
        </w:rPr>
        <w:t>organisation</w:t>
      </w:r>
      <w:proofErr w:type="spellEnd"/>
      <w:r>
        <w:rPr>
          <w:b/>
          <w:color w:val="333399"/>
          <w:spacing w:val="-2"/>
          <w:sz w:val="21"/>
        </w:rPr>
        <w:t xml:space="preserve"> </w:t>
      </w:r>
      <w:r>
        <w:rPr>
          <w:b/>
          <w:color w:val="333399"/>
          <w:sz w:val="21"/>
        </w:rPr>
        <w:t>of the process, interviews, evidence assessment, determination of international protection status, decision-making, timeframes, case management - including backlog management)</w:t>
      </w:r>
    </w:p>
    <w:p w:rsidR="00586F0D" w:rsidP="00132DC6" w:rsidRDefault="00586F0D" w14:paraId="4239EBBD" w14:textId="74B98517">
      <w:pPr>
        <w:spacing w:after="0" w:line="240" w:lineRule="auto"/>
      </w:pPr>
    </w:p>
    <w:p w:rsidR="00AF6BD2" w:rsidP="00132DC6" w:rsidRDefault="00AF6BD2" w14:paraId="0A543EF4" w14:textId="58C77E2D">
      <w:pPr>
        <w:spacing w:after="0" w:line="240" w:lineRule="auto"/>
        <w:rPr>
          <w:lang w:val="en-US"/>
        </w:rPr>
      </w:pPr>
      <w:r w:rsidRPr="00132DC6">
        <w:rPr>
          <w:lang w:val="en-US"/>
        </w:rPr>
        <w:t xml:space="preserve">The </w:t>
      </w:r>
      <w:r>
        <w:rPr>
          <w:lang w:val="en-US"/>
        </w:rPr>
        <w:t>National Immigration Police (NPIS)</w:t>
      </w:r>
      <w:r w:rsidR="00F74558">
        <w:rPr>
          <w:lang w:val="en-US"/>
        </w:rPr>
        <w:t xml:space="preserve"> and the </w:t>
      </w:r>
      <w:r w:rsidRPr="00132DC6">
        <w:rPr>
          <w:lang w:val="en-US"/>
        </w:rPr>
        <w:t xml:space="preserve">Norwegian Directorate of Immigration </w:t>
      </w:r>
      <w:r w:rsidR="00F74558">
        <w:rPr>
          <w:lang w:val="en-US"/>
        </w:rPr>
        <w:t xml:space="preserve">(UDI), </w:t>
      </w:r>
      <w:r>
        <w:rPr>
          <w:lang w:val="en-US"/>
        </w:rPr>
        <w:t xml:space="preserve">responsible </w:t>
      </w:r>
      <w:r w:rsidR="00F74558">
        <w:rPr>
          <w:lang w:val="en-US"/>
        </w:rPr>
        <w:t>for the registration and processing of asylum applications</w:t>
      </w:r>
      <w:r>
        <w:rPr>
          <w:lang w:val="en-US"/>
        </w:rPr>
        <w:t xml:space="preserve"> </w:t>
      </w:r>
      <w:r w:rsidR="00F74558">
        <w:rPr>
          <w:lang w:val="en-US"/>
        </w:rPr>
        <w:t xml:space="preserve">respectively, </w:t>
      </w:r>
      <w:r>
        <w:rPr>
          <w:lang w:val="en-US"/>
        </w:rPr>
        <w:t xml:space="preserve">have cooperated in </w:t>
      </w:r>
      <w:r w:rsidR="00F74558">
        <w:rPr>
          <w:lang w:val="en-US"/>
        </w:rPr>
        <w:t xml:space="preserve">developing new methods for </w:t>
      </w:r>
      <w:r w:rsidR="00B67729">
        <w:rPr>
          <w:lang w:val="en-US"/>
        </w:rPr>
        <w:t xml:space="preserve">improving </w:t>
      </w:r>
      <w:r w:rsidR="001B0218">
        <w:rPr>
          <w:lang w:val="en-US"/>
        </w:rPr>
        <w:t xml:space="preserve">identification and </w:t>
      </w:r>
      <w:r w:rsidR="00B67729">
        <w:rPr>
          <w:lang w:val="en-US"/>
        </w:rPr>
        <w:t xml:space="preserve">case information </w:t>
      </w:r>
      <w:r w:rsidR="00F74558">
        <w:rPr>
          <w:lang w:val="en-US"/>
        </w:rPr>
        <w:t xml:space="preserve">at the earliest possible stage and where possible, deciding </w:t>
      </w:r>
      <w:r w:rsidR="00B67729">
        <w:rPr>
          <w:lang w:val="en-US"/>
        </w:rPr>
        <w:t xml:space="preserve">asylum applications within three weeks. </w:t>
      </w:r>
      <w:r w:rsidR="00F74558">
        <w:rPr>
          <w:lang w:val="en-US"/>
        </w:rPr>
        <w:t xml:space="preserve"> </w:t>
      </w:r>
      <w:r w:rsidR="00B67729">
        <w:rPr>
          <w:lang w:val="en-US"/>
        </w:rPr>
        <w:t>An important development in 2020 has been t</w:t>
      </w:r>
      <w:r w:rsidR="001B0218">
        <w:rPr>
          <w:lang w:val="en-US"/>
        </w:rPr>
        <w:t>he integration of the</w:t>
      </w:r>
      <w:r w:rsidR="00B67729">
        <w:rPr>
          <w:lang w:val="en-US"/>
        </w:rPr>
        <w:t xml:space="preserve"> NPIS and the asylum unit of the UDI at the National Arrival Centre, located </w:t>
      </w:r>
      <w:proofErr w:type="spellStart"/>
      <w:r w:rsidR="00B67729">
        <w:rPr>
          <w:lang w:val="en-US"/>
        </w:rPr>
        <w:t>appox</w:t>
      </w:r>
      <w:proofErr w:type="spellEnd"/>
      <w:r w:rsidR="00B67729">
        <w:rPr>
          <w:lang w:val="en-US"/>
        </w:rPr>
        <w:t>. 70 km. outside Oslo</w:t>
      </w:r>
      <w:r w:rsidR="00FB19FC">
        <w:rPr>
          <w:lang w:val="en-US"/>
        </w:rPr>
        <w:t>. As of November 2020,</w:t>
      </w:r>
      <w:r w:rsidR="00B67729">
        <w:rPr>
          <w:lang w:val="en-US"/>
        </w:rPr>
        <w:t xml:space="preserve"> asylum seekers may stay for up to three weeks </w:t>
      </w:r>
      <w:r w:rsidR="00FB19FC">
        <w:rPr>
          <w:lang w:val="en-US"/>
        </w:rPr>
        <w:t>at the Arrival Centr</w:t>
      </w:r>
      <w:r w:rsidR="001B0218">
        <w:rPr>
          <w:lang w:val="en-US"/>
        </w:rPr>
        <w:t>e</w:t>
      </w:r>
      <w:r w:rsidR="00FB19FC">
        <w:rPr>
          <w:lang w:val="en-US"/>
        </w:rPr>
        <w:t xml:space="preserve">, </w:t>
      </w:r>
      <w:r w:rsidR="00B67729">
        <w:rPr>
          <w:lang w:val="en-US"/>
        </w:rPr>
        <w:t>while their app</w:t>
      </w:r>
      <w:r w:rsidR="00FB19FC">
        <w:rPr>
          <w:lang w:val="en-US"/>
        </w:rPr>
        <w:t xml:space="preserve">lications are being processed. It is estimated that by autumn 2021, 70 % of cases may be decided in the first instance within three weeks of registration. </w:t>
      </w:r>
    </w:p>
    <w:p w:rsidR="00132DC6" w:rsidP="00132DC6" w:rsidRDefault="00132DC6" w14:paraId="784078C8" w14:textId="77777777">
      <w:pPr>
        <w:spacing w:after="0" w:line="240" w:lineRule="auto"/>
        <w:rPr>
          <w:lang w:val="en-US"/>
        </w:rPr>
      </w:pPr>
    </w:p>
    <w:p w:rsidR="00FB19FC" w:rsidP="00132DC6" w:rsidRDefault="00FB19FC" w14:paraId="5598D1A6" w14:textId="5C669B32">
      <w:pPr>
        <w:spacing w:after="0" w:line="240" w:lineRule="auto"/>
        <w:rPr>
          <w:lang w:val="en"/>
        </w:rPr>
      </w:pPr>
      <w:r>
        <w:rPr>
          <w:lang w:val="en-US"/>
        </w:rPr>
        <w:t xml:space="preserve">Applicants whose cases cannot be decided within three weeks, will </w:t>
      </w:r>
      <w:r>
        <w:rPr>
          <w:lang w:val="en"/>
        </w:rPr>
        <w:t>move to a transit</w:t>
      </w:r>
      <w:r w:rsidR="001B0218">
        <w:rPr>
          <w:lang w:val="en"/>
        </w:rPr>
        <w:t>ory –</w:t>
      </w:r>
      <w:r>
        <w:rPr>
          <w:lang w:val="en"/>
        </w:rPr>
        <w:t xml:space="preserve"> </w:t>
      </w:r>
      <w:r w:rsidR="001B0218">
        <w:rPr>
          <w:lang w:val="en"/>
        </w:rPr>
        <w:t xml:space="preserve">or ordinary </w:t>
      </w:r>
      <w:r w:rsidRPr="00FB19FC">
        <w:rPr>
          <w:lang w:val="en"/>
        </w:rPr>
        <w:t xml:space="preserve">reception </w:t>
      </w:r>
      <w:r>
        <w:rPr>
          <w:lang w:val="en"/>
        </w:rPr>
        <w:t>center</w:t>
      </w:r>
      <w:r w:rsidR="001B0218">
        <w:rPr>
          <w:lang w:val="en"/>
        </w:rPr>
        <w:t xml:space="preserve"> pending the process, that is then likely to take substantially longer, depending also on any backlogs of the respective country unit of the UDI</w:t>
      </w:r>
      <w:r w:rsidRPr="00FB19FC">
        <w:rPr>
          <w:lang w:val="en"/>
        </w:rPr>
        <w:t>.</w:t>
      </w:r>
    </w:p>
    <w:p w:rsidR="00132DC6" w:rsidP="00132DC6" w:rsidRDefault="00132DC6" w14:paraId="675CC7D2" w14:textId="77777777">
      <w:pPr>
        <w:spacing w:after="0" w:line="240" w:lineRule="auto"/>
        <w:rPr>
          <w:lang w:val="en"/>
        </w:rPr>
      </w:pPr>
    </w:p>
    <w:p w:rsidR="00B47840" w:rsidP="00132DC6" w:rsidRDefault="001B0218" w14:paraId="54CE8E20" w14:textId="0905E32E">
      <w:pPr>
        <w:spacing w:after="0" w:line="240" w:lineRule="auto"/>
        <w:rPr>
          <w:lang w:val="en-US"/>
        </w:rPr>
      </w:pPr>
      <w:r>
        <w:rPr>
          <w:lang w:val="en"/>
        </w:rPr>
        <w:t xml:space="preserve">The corona pandemic has contributed to prolonged case processing times for asylum seekers in ordinary reception </w:t>
      </w:r>
      <w:r w:rsidR="00862D94">
        <w:rPr>
          <w:lang w:val="en"/>
        </w:rPr>
        <w:t>centers</w:t>
      </w:r>
      <w:r>
        <w:rPr>
          <w:lang w:val="en"/>
        </w:rPr>
        <w:t xml:space="preserve"> in 2020, despite very low arrivals to Norway. The UDI were conducting asylum interviews on Skype in order to avoid travel and risk of exposure to </w:t>
      </w:r>
      <w:r w:rsidR="00DE2F11">
        <w:rPr>
          <w:lang w:val="en"/>
        </w:rPr>
        <w:t>corona for applicants, interpreters and case workers for</w:t>
      </w:r>
      <w:r w:rsidR="008D7A55">
        <w:rPr>
          <w:lang w:val="en"/>
        </w:rPr>
        <w:t xml:space="preserve"> most of 2020, but </w:t>
      </w:r>
      <w:r w:rsidR="00862D94">
        <w:rPr>
          <w:lang w:val="en"/>
        </w:rPr>
        <w:t>with reduced capacity compared to regular interviewin</w:t>
      </w:r>
      <w:r w:rsidR="008D7A55">
        <w:rPr>
          <w:lang w:val="en"/>
        </w:rPr>
        <w:t>g</w:t>
      </w:r>
      <w:r w:rsidR="00862D94">
        <w:rPr>
          <w:lang w:val="en"/>
        </w:rPr>
        <w:t xml:space="preserve">. </w:t>
      </w:r>
    </w:p>
    <w:p w:rsidRPr="00132DC6" w:rsidR="00132DC6" w:rsidP="00132DC6" w:rsidRDefault="00132DC6" w14:paraId="41E91269" w14:textId="77777777">
      <w:pPr>
        <w:spacing w:after="0" w:line="240" w:lineRule="auto"/>
        <w:rPr>
          <w:lang w:val="en-US"/>
        </w:rPr>
      </w:pPr>
    </w:p>
    <w:p w:rsidR="00B47840" w:rsidP="00132DC6" w:rsidRDefault="00B47840" w14:paraId="3F3DBC98" w14:textId="1974D5B7">
      <w:pPr>
        <w:spacing w:after="0" w:line="240" w:lineRule="auto"/>
        <w:jc w:val="both"/>
        <w:rPr>
          <w:lang w:val="en-US"/>
        </w:rPr>
      </w:pPr>
    </w:p>
    <w:p w:rsidR="00212898" w:rsidP="00132DC6" w:rsidRDefault="00212898" w14:paraId="32379EC7" w14:textId="1AD31535">
      <w:pPr>
        <w:spacing w:after="0" w:line="240" w:lineRule="auto"/>
        <w:jc w:val="both"/>
        <w:rPr>
          <w:lang w:val="en-US"/>
        </w:rPr>
      </w:pPr>
    </w:p>
    <w:p w:rsidRPr="00586F0D" w:rsidR="00586F0D" w:rsidP="00B0377E" w:rsidRDefault="00586F0D" w14:paraId="4FC08878" w14:textId="657FC5BE">
      <w:pPr>
        <w:pStyle w:val="ListParagraph"/>
        <w:numPr>
          <w:ilvl w:val="0"/>
          <w:numId w:val="2"/>
        </w:numPr>
        <w:tabs>
          <w:tab w:val="left" w:pos="469"/>
        </w:tabs>
        <w:spacing w:line="302" w:lineRule="auto"/>
        <w:ind w:right="1139"/>
        <w:jc w:val="both"/>
        <w:rPr>
          <w:b/>
          <w:sz w:val="21"/>
        </w:rPr>
      </w:pPr>
      <w:r>
        <w:rPr>
          <w:b/>
          <w:color w:val="333399"/>
          <w:sz w:val="21"/>
        </w:rPr>
        <w:lastRenderedPageBreak/>
        <w:t xml:space="preserve">Procedures at second instance (including </w:t>
      </w:r>
      <w:proofErr w:type="spellStart"/>
      <w:r>
        <w:rPr>
          <w:b/>
          <w:color w:val="333399"/>
          <w:sz w:val="21"/>
        </w:rPr>
        <w:t>organisation</w:t>
      </w:r>
      <w:proofErr w:type="spellEnd"/>
      <w:r>
        <w:rPr>
          <w:b/>
          <w:color w:val="333399"/>
          <w:sz w:val="21"/>
        </w:rPr>
        <w:t xml:space="preserve"> of the process, hearings, </w:t>
      </w:r>
      <w:r>
        <w:rPr>
          <w:b/>
          <w:color w:val="333399"/>
          <w:spacing w:val="-3"/>
          <w:sz w:val="21"/>
        </w:rPr>
        <w:t xml:space="preserve">written </w:t>
      </w:r>
      <w:r>
        <w:rPr>
          <w:b/>
          <w:color w:val="333399"/>
          <w:sz w:val="21"/>
        </w:rPr>
        <w:t>procedures, timeframes, case management - including backlog</w:t>
      </w:r>
      <w:r>
        <w:rPr>
          <w:b/>
          <w:color w:val="333399"/>
          <w:spacing w:val="-1"/>
          <w:sz w:val="21"/>
        </w:rPr>
        <w:t xml:space="preserve"> </w:t>
      </w:r>
      <w:r>
        <w:rPr>
          <w:b/>
          <w:color w:val="333399"/>
          <w:sz w:val="21"/>
        </w:rPr>
        <w:t>management)</w:t>
      </w:r>
    </w:p>
    <w:p w:rsidR="00586F0D" w:rsidP="00413CE1" w:rsidRDefault="00586F0D" w14:paraId="71D1F9E3" w14:textId="1C07375E">
      <w:pPr>
        <w:spacing w:after="0" w:line="240" w:lineRule="auto"/>
        <w:jc w:val="both"/>
      </w:pPr>
    </w:p>
    <w:p w:rsidR="00B47840" w:rsidP="00413CE1" w:rsidRDefault="00230907" w14:paraId="5BE3E105" w14:textId="2E18DAD7">
      <w:pPr>
        <w:spacing w:after="0" w:line="240" w:lineRule="auto"/>
        <w:jc w:val="both"/>
      </w:pPr>
      <w:r>
        <w:t>NOAS is</w:t>
      </w:r>
      <w:r w:rsidR="0027045B">
        <w:t xml:space="preserve"> concerned about the processing of asylum cases in the Immigration Appeals Board (UNE). </w:t>
      </w:r>
    </w:p>
    <w:p w:rsidR="00895A5B" w:rsidP="00413CE1" w:rsidRDefault="00185C76" w14:paraId="2F7018C4" w14:textId="3FC7528F">
      <w:pPr>
        <w:spacing w:after="0" w:line="240" w:lineRule="auto"/>
        <w:jc w:val="both"/>
        <w:rPr>
          <w:rFonts w:cstheme="minorHAnsi"/>
        </w:rPr>
      </w:pPr>
      <w:r>
        <w:t xml:space="preserve">Concerns related to </w:t>
      </w:r>
      <w:r w:rsidR="00A006F6">
        <w:t xml:space="preserve">the </w:t>
      </w:r>
      <w:r>
        <w:t xml:space="preserve">case management in UNE is highlighted in several reports, including in </w:t>
      </w:r>
      <w:hyperlink w:history="1" r:id="rId20">
        <w:r w:rsidRPr="003879BD">
          <w:rPr>
            <w:rStyle w:val="Hyperlink"/>
            <w:rFonts w:cstheme="minorHAnsi"/>
          </w:rPr>
          <w:t>a public inquiry</w:t>
        </w:r>
      </w:hyperlink>
      <w:r w:rsidRPr="003879BD">
        <w:rPr>
          <w:rFonts w:cstheme="minorHAnsi"/>
        </w:rPr>
        <w:t xml:space="preserve"> from 2017. Our concerns are in particular related to </w:t>
      </w:r>
      <w:r w:rsidRPr="003879BD" w:rsidR="00302832">
        <w:rPr>
          <w:rFonts w:cstheme="minorHAnsi"/>
        </w:rPr>
        <w:t>lack of contradiction and lack of oral hearings.</w:t>
      </w:r>
      <w:r w:rsidRPr="003879BD" w:rsidR="00C61DC9">
        <w:rPr>
          <w:rFonts w:cstheme="minorHAnsi"/>
        </w:rPr>
        <w:t xml:space="preserve"> </w:t>
      </w:r>
    </w:p>
    <w:p w:rsidR="00895A5B" w:rsidP="00413CE1" w:rsidRDefault="00895A5B" w14:paraId="2382681B" w14:textId="77777777">
      <w:pPr>
        <w:spacing w:after="0" w:line="240" w:lineRule="auto"/>
        <w:jc w:val="both"/>
        <w:rPr>
          <w:rFonts w:cstheme="minorHAnsi"/>
        </w:rPr>
      </w:pPr>
    </w:p>
    <w:p w:rsidR="00185C76" w:rsidP="00413CE1" w:rsidRDefault="00C61DC9" w14:paraId="5671E63B" w14:textId="51DCE0E8">
      <w:pPr>
        <w:spacing w:after="0" w:line="240" w:lineRule="auto"/>
        <w:jc w:val="both"/>
        <w:rPr>
          <w:rFonts w:cstheme="minorHAnsi"/>
          <w:color w:val="444444"/>
          <w:spacing w:val="5"/>
        </w:rPr>
      </w:pPr>
      <w:r w:rsidRPr="003879BD">
        <w:rPr>
          <w:rFonts w:cstheme="minorHAnsi"/>
        </w:rPr>
        <w:t>In some asylum cases, UNE is assessing different issues than the Directorate of Immigration (the first instance), without giving the asylum seeker the possibility t</w:t>
      </w:r>
      <w:r w:rsidR="00895A5B">
        <w:rPr>
          <w:rFonts w:cstheme="minorHAnsi"/>
        </w:rPr>
        <w:t xml:space="preserve">o contradict these assessments. </w:t>
      </w:r>
      <w:r w:rsidR="006E65A5">
        <w:rPr>
          <w:rFonts w:cstheme="minorHAnsi"/>
        </w:rPr>
        <w:t xml:space="preserve">As well, </w:t>
      </w:r>
      <w:r w:rsidR="006E65A5">
        <w:rPr>
          <w:rFonts w:cstheme="minorHAnsi"/>
          <w:color w:val="444444"/>
          <w:spacing w:val="5"/>
        </w:rPr>
        <w:t>v</w:t>
      </w:r>
      <w:r w:rsidRPr="003879BD">
        <w:rPr>
          <w:rFonts w:cstheme="minorHAnsi"/>
          <w:color w:val="444444"/>
          <w:spacing w:val="5"/>
        </w:rPr>
        <w:t xml:space="preserve">ery few asylum seekers are given the possibility to participate in an oral hearing in </w:t>
      </w:r>
      <w:r w:rsidR="006E65A5">
        <w:rPr>
          <w:rFonts w:cstheme="minorHAnsi"/>
          <w:color w:val="444444"/>
          <w:spacing w:val="5"/>
        </w:rPr>
        <w:t>UNE. O</w:t>
      </w:r>
      <w:r w:rsidRPr="003879BD" w:rsidR="003879BD">
        <w:rPr>
          <w:rFonts w:cstheme="minorHAnsi"/>
          <w:color w:val="444444"/>
          <w:spacing w:val="5"/>
        </w:rPr>
        <w:t xml:space="preserve">nly 8 % </w:t>
      </w:r>
      <w:r w:rsidR="006E65A5">
        <w:rPr>
          <w:rFonts w:cstheme="minorHAnsi"/>
          <w:color w:val="444444"/>
          <w:spacing w:val="5"/>
        </w:rPr>
        <w:t xml:space="preserve">of the asylum seekers were given the possibility to participate in an oral hearing </w:t>
      </w:r>
      <w:r w:rsidRPr="003879BD" w:rsidR="003879BD">
        <w:rPr>
          <w:rFonts w:cstheme="minorHAnsi"/>
          <w:color w:val="444444"/>
          <w:spacing w:val="5"/>
        </w:rPr>
        <w:t>in 2019 (the number for 2020 is not yet</w:t>
      </w:r>
      <w:r w:rsidR="006E65A5">
        <w:rPr>
          <w:rFonts w:cstheme="minorHAnsi"/>
          <w:color w:val="444444"/>
          <w:spacing w:val="5"/>
        </w:rPr>
        <w:t xml:space="preserve"> made</w:t>
      </w:r>
      <w:r w:rsidRPr="003879BD" w:rsidR="003879BD">
        <w:rPr>
          <w:rFonts w:cstheme="minorHAnsi"/>
          <w:color w:val="444444"/>
          <w:spacing w:val="5"/>
        </w:rPr>
        <w:t xml:space="preserve"> public according to our knowledge).</w:t>
      </w:r>
    </w:p>
    <w:p w:rsidR="000564A3" w:rsidP="00413CE1" w:rsidRDefault="000564A3" w14:paraId="3A8D2CE4" w14:textId="55000743">
      <w:pPr>
        <w:spacing w:after="0" w:line="240" w:lineRule="auto"/>
        <w:jc w:val="both"/>
        <w:rPr>
          <w:rFonts w:cstheme="minorHAnsi"/>
          <w:color w:val="444444"/>
          <w:spacing w:val="5"/>
        </w:rPr>
      </w:pPr>
    </w:p>
    <w:p w:rsidR="000564A3" w:rsidP="00413CE1" w:rsidRDefault="000564A3" w14:paraId="7D236669" w14:textId="51E3B457">
      <w:pPr>
        <w:spacing w:after="0" w:line="240" w:lineRule="auto"/>
        <w:jc w:val="both"/>
        <w:rPr>
          <w:rFonts w:cstheme="minorHAnsi"/>
          <w:color w:val="444444"/>
          <w:spacing w:val="5"/>
        </w:rPr>
      </w:pPr>
      <w:r>
        <w:rPr>
          <w:rFonts w:cstheme="minorHAnsi"/>
          <w:color w:val="444444"/>
          <w:spacing w:val="5"/>
        </w:rPr>
        <w:t xml:space="preserve">Although </w:t>
      </w:r>
      <w:hyperlink w:history="1" r:id="rId21">
        <w:r w:rsidRPr="003A263A">
          <w:rPr>
            <w:rStyle w:val="Hyperlink"/>
            <w:rFonts w:cstheme="minorHAnsi"/>
            <w:spacing w:val="5"/>
          </w:rPr>
          <w:t>the government</w:t>
        </w:r>
        <w:r w:rsidRPr="003A263A" w:rsidR="003A263A">
          <w:rPr>
            <w:rStyle w:val="Hyperlink"/>
            <w:rFonts w:cstheme="minorHAnsi"/>
            <w:spacing w:val="5"/>
          </w:rPr>
          <w:t>’</w:t>
        </w:r>
        <w:r w:rsidRPr="003A263A">
          <w:rPr>
            <w:rStyle w:val="Hyperlink"/>
            <w:rFonts w:cstheme="minorHAnsi"/>
            <w:spacing w:val="5"/>
          </w:rPr>
          <w:t>s political platform</w:t>
        </w:r>
      </w:hyperlink>
      <w:r>
        <w:rPr>
          <w:rFonts w:cstheme="minorHAnsi"/>
          <w:color w:val="444444"/>
          <w:spacing w:val="5"/>
        </w:rPr>
        <w:t xml:space="preserve"> </w:t>
      </w:r>
      <w:r w:rsidR="003A263A">
        <w:rPr>
          <w:rFonts w:cstheme="minorHAnsi"/>
          <w:color w:val="444444"/>
          <w:spacing w:val="5"/>
        </w:rPr>
        <w:t>from January 2019 promises</w:t>
      </w:r>
      <w:r>
        <w:rPr>
          <w:rFonts w:cstheme="minorHAnsi"/>
          <w:color w:val="444444"/>
          <w:spacing w:val="5"/>
        </w:rPr>
        <w:t xml:space="preserve"> a revision of the </w:t>
      </w:r>
      <w:r w:rsidR="00870185">
        <w:rPr>
          <w:rFonts w:cstheme="minorHAnsi"/>
          <w:color w:val="444444"/>
          <w:spacing w:val="5"/>
        </w:rPr>
        <w:t xml:space="preserve">second instance in immigration cases, the necessary measures have still not been taken. </w:t>
      </w:r>
    </w:p>
    <w:p w:rsidR="00870185" w:rsidP="00413CE1" w:rsidRDefault="00870185" w14:paraId="6F78E2E7" w14:textId="0BA5B474">
      <w:pPr>
        <w:spacing w:after="0" w:line="240" w:lineRule="auto"/>
        <w:jc w:val="both"/>
        <w:rPr>
          <w:rFonts w:cstheme="minorHAnsi"/>
          <w:color w:val="444444"/>
          <w:spacing w:val="5"/>
        </w:rPr>
      </w:pPr>
    </w:p>
    <w:p w:rsidR="00B47840" w:rsidP="00413CE1" w:rsidRDefault="00870185" w14:paraId="13ABB67D" w14:textId="29FD46A8">
      <w:pPr>
        <w:spacing w:after="0" w:line="240" w:lineRule="auto"/>
        <w:jc w:val="both"/>
        <w:rPr>
          <w:rFonts w:cstheme="minorHAnsi"/>
          <w:color w:val="444444"/>
          <w:spacing w:val="5"/>
        </w:rPr>
      </w:pPr>
      <w:r>
        <w:rPr>
          <w:rFonts w:cstheme="minorHAnsi"/>
          <w:color w:val="444444"/>
          <w:spacing w:val="5"/>
        </w:rPr>
        <w:t>In June 2020</w:t>
      </w:r>
      <w:r w:rsidR="00AC7C55">
        <w:rPr>
          <w:rFonts w:cstheme="minorHAnsi"/>
          <w:color w:val="444444"/>
          <w:spacing w:val="5"/>
        </w:rPr>
        <w:t>,</w:t>
      </w:r>
      <w:r w:rsidR="00AF0F9A">
        <w:rPr>
          <w:rFonts w:cstheme="minorHAnsi"/>
          <w:color w:val="444444"/>
          <w:spacing w:val="5"/>
        </w:rPr>
        <w:t xml:space="preserve"> the P</w:t>
      </w:r>
      <w:r>
        <w:rPr>
          <w:rFonts w:cstheme="minorHAnsi"/>
          <w:color w:val="444444"/>
          <w:spacing w:val="5"/>
        </w:rPr>
        <w:t xml:space="preserve">arliament decided on a </w:t>
      </w:r>
      <w:hyperlink w:history="1" r:id="rId22">
        <w:r w:rsidRPr="00AF0F9A">
          <w:rPr>
            <w:rStyle w:val="Hyperlink"/>
            <w:rFonts w:cstheme="minorHAnsi"/>
            <w:spacing w:val="5"/>
          </w:rPr>
          <w:t>new system for recruiting members</w:t>
        </w:r>
      </w:hyperlink>
      <w:r>
        <w:rPr>
          <w:rFonts w:cstheme="minorHAnsi"/>
          <w:color w:val="444444"/>
          <w:spacing w:val="5"/>
        </w:rPr>
        <w:t xml:space="preserve"> to the Immigration Appeals Board. The system does not however provide any real change of the current system, and only contains “technical” changes without impact on effectivity or the rights of the asylum seekers. When the suggestion for these changes were on public hearing, the government announced that other suggestions for changes in the Appeals Board would come on public hearing by the end of 2019. These suggestions have still not come.   </w:t>
      </w:r>
    </w:p>
    <w:p w:rsidRPr="00870185" w:rsidR="00F86B5D" w:rsidP="00413CE1" w:rsidRDefault="00F86B5D" w14:paraId="3B03F9B7" w14:textId="77777777">
      <w:pPr>
        <w:spacing w:after="0" w:line="240" w:lineRule="auto"/>
        <w:jc w:val="both"/>
        <w:rPr>
          <w:rFonts w:cstheme="minorHAnsi"/>
          <w:color w:val="444444"/>
          <w:spacing w:val="5"/>
        </w:rPr>
      </w:pPr>
    </w:p>
    <w:p w:rsidRPr="00870185" w:rsidR="001168E5" w:rsidP="00413CE1" w:rsidRDefault="001168E5" w14:paraId="75EBAD69" w14:textId="77777777">
      <w:pPr>
        <w:spacing w:after="0" w:line="240" w:lineRule="auto"/>
        <w:jc w:val="both"/>
        <w:rPr>
          <w:lang w:val="nb-NO"/>
        </w:rPr>
      </w:pPr>
    </w:p>
    <w:p w:rsidR="00586F0D" w:rsidP="00B0377E" w:rsidRDefault="00586F0D" w14:paraId="26386116" w14:textId="2A1E661C">
      <w:pPr>
        <w:pStyle w:val="ListParagraph"/>
        <w:numPr>
          <w:ilvl w:val="0"/>
          <w:numId w:val="2"/>
        </w:numPr>
        <w:tabs>
          <w:tab w:val="left" w:pos="469"/>
        </w:tabs>
        <w:jc w:val="both"/>
        <w:rPr>
          <w:b/>
          <w:color w:val="333399"/>
          <w:sz w:val="21"/>
        </w:rPr>
      </w:pPr>
      <w:r w:rsidRPr="00586F0D">
        <w:rPr>
          <w:b/>
          <w:color w:val="333399"/>
          <w:sz w:val="21"/>
        </w:rPr>
        <w:t xml:space="preserve">Availability and use of country of origin information (including </w:t>
      </w:r>
      <w:proofErr w:type="spellStart"/>
      <w:r w:rsidRPr="00586F0D">
        <w:rPr>
          <w:b/>
          <w:color w:val="333399"/>
          <w:sz w:val="21"/>
        </w:rPr>
        <w:t>organisation</w:t>
      </w:r>
      <w:proofErr w:type="spellEnd"/>
      <w:r w:rsidRPr="00586F0D">
        <w:rPr>
          <w:b/>
          <w:color w:val="333399"/>
          <w:sz w:val="21"/>
        </w:rPr>
        <w:t xml:space="preserve">, </w:t>
      </w:r>
      <w:r w:rsidRPr="00586F0D">
        <w:rPr>
          <w:b/>
          <w:color w:val="333399"/>
          <w:spacing w:val="-2"/>
          <w:sz w:val="21"/>
        </w:rPr>
        <w:t xml:space="preserve">methodology, </w:t>
      </w:r>
      <w:r w:rsidRPr="00586F0D">
        <w:rPr>
          <w:b/>
          <w:color w:val="333399"/>
          <w:sz w:val="21"/>
        </w:rPr>
        <w:t>products, databases, fact-finding missions, cooperation between stakeholders)</w:t>
      </w:r>
    </w:p>
    <w:p w:rsidR="00586F0D" w:rsidP="00212898" w:rsidRDefault="00586F0D" w14:paraId="141EDA2F" w14:textId="7A8FE0C8">
      <w:pPr>
        <w:spacing w:after="0" w:line="240" w:lineRule="auto"/>
        <w:jc w:val="both"/>
      </w:pPr>
    </w:p>
    <w:p w:rsidR="00B47840" w:rsidP="00212898" w:rsidRDefault="00212898" w14:paraId="6F586D28" w14:textId="4E2D02DF">
      <w:pPr>
        <w:spacing w:after="0" w:line="240" w:lineRule="auto"/>
        <w:jc w:val="both"/>
      </w:pPr>
      <w:r>
        <w:t>-</w:t>
      </w:r>
    </w:p>
    <w:p w:rsidR="00212898" w:rsidP="00212898" w:rsidRDefault="00212898" w14:paraId="03570B79" w14:textId="3D5FD748">
      <w:pPr>
        <w:spacing w:after="0" w:line="240" w:lineRule="auto"/>
        <w:jc w:val="both"/>
      </w:pPr>
    </w:p>
    <w:p w:rsidRPr="007C3479" w:rsidR="00212898" w:rsidP="00212898" w:rsidRDefault="00212898" w14:paraId="20D2B315" w14:textId="77777777">
      <w:pPr>
        <w:spacing w:after="0" w:line="240" w:lineRule="auto"/>
        <w:jc w:val="both"/>
      </w:pPr>
    </w:p>
    <w:p w:rsidR="00586F0D" w:rsidP="00B0377E" w:rsidRDefault="00586F0D" w14:paraId="6B4012D1" w14:textId="3145B9EF">
      <w:pPr>
        <w:pStyle w:val="ListParagraph"/>
        <w:numPr>
          <w:ilvl w:val="0"/>
          <w:numId w:val="2"/>
        </w:numPr>
        <w:tabs>
          <w:tab w:val="left" w:pos="469"/>
        </w:tabs>
        <w:jc w:val="both"/>
        <w:rPr>
          <w:b/>
          <w:color w:val="333399"/>
          <w:sz w:val="21"/>
        </w:rPr>
      </w:pPr>
      <w:r w:rsidRPr="00586F0D">
        <w:rPr>
          <w:b/>
          <w:color w:val="333399"/>
          <w:sz w:val="21"/>
        </w:rPr>
        <w:t xml:space="preserve">Vulnerable applicants (including definitions, special reception facilities, identification mechanisms/referrals, procedural standards, provision of information, age assessment, </w:t>
      </w:r>
      <w:r w:rsidRPr="00586F0D">
        <w:rPr>
          <w:b/>
          <w:color w:val="333399"/>
          <w:spacing w:val="-4"/>
          <w:sz w:val="21"/>
        </w:rPr>
        <w:t xml:space="preserve">legal </w:t>
      </w:r>
      <w:r w:rsidRPr="00586F0D">
        <w:rPr>
          <w:b/>
          <w:color w:val="333399"/>
          <w:sz w:val="21"/>
        </w:rPr>
        <w:t>guardianship and foster care for unaccompanied and separated</w:t>
      </w:r>
      <w:r w:rsidRPr="00586F0D">
        <w:rPr>
          <w:b/>
          <w:color w:val="333399"/>
          <w:spacing w:val="-1"/>
          <w:sz w:val="21"/>
        </w:rPr>
        <w:t xml:space="preserve"> </w:t>
      </w:r>
      <w:r w:rsidRPr="00586F0D">
        <w:rPr>
          <w:b/>
          <w:color w:val="333399"/>
          <w:sz w:val="21"/>
        </w:rPr>
        <w:t>children)</w:t>
      </w:r>
    </w:p>
    <w:p w:rsidRPr="00F94FB9" w:rsidR="00586F0D" w:rsidP="00F94FB9" w:rsidRDefault="00586F0D" w14:paraId="5AFAD339" w14:textId="6D689C9D">
      <w:pPr>
        <w:tabs>
          <w:tab w:val="left" w:pos="469"/>
        </w:tabs>
        <w:spacing w:after="0" w:line="240" w:lineRule="auto"/>
        <w:jc w:val="both"/>
        <w:rPr>
          <w:b/>
          <w:sz w:val="21"/>
        </w:rPr>
      </w:pPr>
    </w:p>
    <w:p w:rsidR="008D7A55" w:rsidP="00F94FB9" w:rsidRDefault="00862D94" w14:paraId="1BA34740" w14:textId="7E128007">
      <w:pPr>
        <w:tabs>
          <w:tab w:val="left" w:pos="469"/>
        </w:tabs>
        <w:spacing w:after="0" w:line="240" w:lineRule="auto"/>
        <w:jc w:val="both"/>
      </w:pPr>
      <w:r w:rsidRPr="00F94FB9">
        <w:t>Norway still has not put in place an identification mechanism for detecting</w:t>
      </w:r>
      <w:r w:rsidRPr="00F94FB9" w:rsidR="008D7A55">
        <w:t xml:space="preserve"> </w:t>
      </w:r>
      <w:r w:rsidRPr="00F94FB9">
        <w:t>vulnerabilities among asylum seekers upon arrival. Most asylum seekers undergo an obligatory test against tuberculosis (and those arriving from abroad are currently obliged to test for corona and remain in quarantine for ten days). At the Natio</w:t>
      </w:r>
      <w:r w:rsidRPr="00F94FB9" w:rsidR="00DE2F11">
        <w:t>nal Arrival Centre, a clinic for</w:t>
      </w:r>
      <w:r w:rsidRPr="00F94FB9">
        <w:t xml:space="preserve"> </w:t>
      </w:r>
      <w:r w:rsidRPr="00F94FB9" w:rsidR="00DE2F11">
        <w:t>general health services is</w:t>
      </w:r>
      <w:r w:rsidRPr="00F94FB9">
        <w:t xml:space="preserve"> </w:t>
      </w:r>
      <w:r w:rsidRPr="00F94FB9" w:rsidR="008D7A55">
        <w:t>open</w:t>
      </w:r>
      <w:r w:rsidRPr="00F94FB9">
        <w:t xml:space="preserve"> </w:t>
      </w:r>
      <w:r w:rsidRPr="00F94FB9" w:rsidR="008D7A55">
        <w:t xml:space="preserve">to residents </w:t>
      </w:r>
      <w:r w:rsidRPr="00F94FB9">
        <w:t xml:space="preserve">on the weekdays. </w:t>
      </w:r>
      <w:r w:rsidRPr="00F94FB9" w:rsidR="00DE2F11">
        <w:t xml:space="preserve">Applicants with vulnerabilities that are not </w:t>
      </w:r>
      <w:r w:rsidRPr="00F94FB9" w:rsidR="008D7A55">
        <w:t xml:space="preserve">apparent </w:t>
      </w:r>
      <w:r w:rsidRPr="00F94FB9" w:rsidR="00DE2F11">
        <w:t xml:space="preserve">may have to inform on any needs themselves, </w:t>
      </w:r>
      <w:r w:rsidRPr="00F94FB9" w:rsidR="008D7A55">
        <w:t xml:space="preserve">in order </w:t>
      </w:r>
      <w:r w:rsidRPr="00F94FB9" w:rsidR="00DE2F11">
        <w:t>to get assistance and/or a facilitated process or accommodation.</w:t>
      </w:r>
    </w:p>
    <w:p w:rsidRPr="00F94FB9" w:rsidR="00F94FB9" w:rsidP="00F94FB9" w:rsidRDefault="00F94FB9" w14:paraId="26C68F25" w14:textId="77777777">
      <w:pPr>
        <w:tabs>
          <w:tab w:val="left" w:pos="469"/>
        </w:tabs>
        <w:spacing w:after="0" w:line="240" w:lineRule="auto"/>
        <w:jc w:val="both"/>
      </w:pPr>
    </w:p>
    <w:p w:rsidRPr="007C3479" w:rsidR="00B47840" w:rsidP="00F94FB9" w:rsidRDefault="00B47840" w14:paraId="32DFDA09" w14:textId="0938F146">
      <w:pPr>
        <w:tabs>
          <w:tab w:val="left" w:pos="469"/>
        </w:tabs>
        <w:spacing w:after="0" w:line="240" w:lineRule="auto"/>
        <w:jc w:val="both"/>
        <w:rPr>
          <w:b/>
          <w:sz w:val="21"/>
        </w:rPr>
      </w:pPr>
    </w:p>
    <w:p w:rsidRPr="00586F0D" w:rsidR="00586F0D" w:rsidP="00B0377E" w:rsidRDefault="00586F0D" w14:paraId="46A489C2" w14:textId="5E65DBE6">
      <w:pPr>
        <w:pStyle w:val="ListParagraph"/>
        <w:numPr>
          <w:ilvl w:val="0"/>
          <w:numId w:val="2"/>
        </w:numPr>
        <w:tabs>
          <w:tab w:val="left" w:pos="644"/>
        </w:tabs>
        <w:spacing w:after="3" w:line="302" w:lineRule="auto"/>
        <w:ind w:right="380"/>
        <w:jc w:val="both"/>
        <w:rPr>
          <w:b/>
          <w:sz w:val="21"/>
        </w:rPr>
      </w:pPr>
      <w:r>
        <w:rPr>
          <w:b/>
          <w:color w:val="333399"/>
          <w:sz w:val="21"/>
        </w:rPr>
        <w:t xml:space="preserve">Content of protection (including access to social security, social assistance, healthcare, housing and other basic services; integration into the </w:t>
      </w:r>
      <w:proofErr w:type="spellStart"/>
      <w:r>
        <w:rPr>
          <w:b/>
          <w:color w:val="333399"/>
          <w:sz w:val="21"/>
        </w:rPr>
        <w:t>labour</w:t>
      </w:r>
      <w:proofErr w:type="spellEnd"/>
      <w:r>
        <w:rPr>
          <w:b/>
          <w:color w:val="333399"/>
          <w:sz w:val="21"/>
        </w:rPr>
        <w:t xml:space="preserve"> market; measures to enhance language skills; measures to improve attainment in schooling and/or the education system </w:t>
      </w:r>
      <w:r>
        <w:rPr>
          <w:b/>
          <w:color w:val="333399"/>
          <w:spacing w:val="-3"/>
          <w:sz w:val="21"/>
        </w:rPr>
        <w:t xml:space="preserve">and/or </w:t>
      </w:r>
      <w:r>
        <w:rPr>
          <w:b/>
          <w:color w:val="333399"/>
          <w:sz w:val="21"/>
        </w:rPr>
        <w:t>vocational training)</w:t>
      </w:r>
    </w:p>
    <w:p w:rsidR="00A71E2E" w:rsidP="00B0377E" w:rsidRDefault="00A71E2E" w14:paraId="73C9AAEE" w14:textId="2FD40179">
      <w:pPr>
        <w:tabs>
          <w:tab w:val="left" w:pos="644"/>
        </w:tabs>
        <w:spacing w:after="3" w:line="302" w:lineRule="auto"/>
        <w:ind w:right="380"/>
        <w:jc w:val="both"/>
        <w:rPr>
          <w:b/>
          <w:sz w:val="21"/>
        </w:rPr>
      </w:pPr>
    </w:p>
    <w:p w:rsidRPr="00212898" w:rsidR="00212898" w:rsidP="00B0377E" w:rsidRDefault="00212898" w14:paraId="73495E57" w14:textId="60B51236">
      <w:pPr>
        <w:tabs>
          <w:tab w:val="left" w:pos="644"/>
        </w:tabs>
        <w:spacing w:after="3" w:line="302" w:lineRule="auto"/>
        <w:ind w:right="380"/>
        <w:jc w:val="both"/>
        <w:rPr>
          <w:sz w:val="21"/>
        </w:rPr>
      </w:pPr>
      <w:r w:rsidRPr="00212898">
        <w:rPr>
          <w:sz w:val="21"/>
        </w:rPr>
        <w:lastRenderedPageBreak/>
        <w:t>-</w:t>
      </w:r>
    </w:p>
    <w:p w:rsidRPr="007C3479" w:rsidR="00B47840" w:rsidP="00B0377E" w:rsidRDefault="00B47840" w14:paraId="700609C7" w14:textId="379B4BDB">
      <w:pPr>
        <w:tabs>
          <w:tab w:val="left" w:pos="644"/>
        </w:tabs>
        <w:spacing w:after="3" w:line="302" w:lineRule="auto"/>
        <w:ind w:right="380"/>
        <w:jc w:val="both"/>
        <w:rPr>
          <w:b/>
          <w:sz w:val="21"/>
        </w:rPr>
      </w:pPr>
    </w:p>
    <w:p w:rsidR="00586F0D" w:rsidP="00B0377E" w:rsidRDefault="00586F0D" w14:paraId="04BDE768" w14:textId="7E1C4A95">
      <w:pPr>
        <w:pStyle w:val="ListParagraph"/>
        <w:numPr>
          <w:ilvl w:val="0"/>
          <w:numId w:val="2"/>
        </w:numPr>
        <w:tabs>
          <w:tab w:val="left" w:pos="469"/>
        </w:tabs>
        <w:jc w:val="both"/>
        <w:rPr>
          <w:b/>
          <w:color w:val="333399"/>
          <w:sz w:val="21"/>
        </w:rPr>
      </w:pPr>
      <w:r w:rsidRPr="00586F0D">
        <w:rPr>
          <w:b/>
          <w:color w:val="333399"/>
          <w:sz w:val="21"/>
        </w:rPr>
        <w:t>Return of former applicants for international protection</w:t>
      </w:r>
    </w:p>
    <w:p w:rsidR="00586F0D" w:rsidP="00CD7D5E" w:rsidRDefault="00586F0D" w14:paraId="1E66324A" w14:textId="6E5C44FD">
      <w:pPr>
        <w:spacing w:after="0" w:line="240" w:lineRule="auto"/>
      </w:pPr>
    </w:p>
    <w:p w:rsidRPr="00CD7D5E" w:rsidR="00FB304E" w:rsidP="00CD7D5E" w:rsidRDefault="00FB304E" w14:paraId="64CFA288" w14:textId="7B72377B">
      <w:pPr>
        <w:spacing w:after="0" w:line="240" w:lineRule="auto"/>
        <w:rPr>
          <w:rFonts w:cstheme="minorHAnsi"/>
        </w:rPr>
      </w:pPr>
      <w:r w:rsidRPr="00CD7D5E">
        <w:rPr>
          <w:rFonts w:cstheme="minorHAnsi"/>
        </w:rPr>
        <w:t>The number of returns</w:t>
      </w:r>
      <w:r w:rsidRPr="00CD7D5E" w:rsidR="00972B32">
        <w:rPr>
          <w:rFonts w:cstheme="minorHAnsi"/>
        </w:rPr>
        <w:t xml:space="preserve">, both forced and assisted, has been </w:t>
      </w:r>
      <w:hyperlink w:history="1" r:id="rId23">
        <w:r w:rsidRPr="00CD7D5E" w:rsidR="00972B32">
          <w:rPr>
            <w:rStyle w:val="Hyperlink"/>
            <w:rFonts w:cstheme="minorHAnsi"/>
          </w:rPr>
          <w:t>low</w:t>
        </w:r>
        <w:r w:rsidRPr="00CD7D5E">
          <w:rPr>
            <w:rStyle w:val="Hyperlink"/>
            <w:rFonts w:cstheme="minorHAnsi"/>
          </w:rPr>
          <w:t xml:space="preserve"> </w:t>
        </w:r>
        <w:r w:rsidRPr="00CD7D5E" w:rsidR="00972B32">
          <w:rPr>
            <w:rStyle w:val="Hyperlink"/>
            <w:rFonts w:cstheme="minorHAnsi"/>
          </w:rPr>
          <w:t xml:space="preserve">in 2020 </w:t>
        </w:r>
        <w:r w:rsidRPr="00CD7D5E">
          <w:rPr>
            <w:rStyle w:val="Hyperlink"/>
            <w:rFonts w:cstheme="minorHAnsi"/>
          </w:rPr>
          <w:t>due to Covid-19</w:t>
        </w:r>
      </w:hyperlink>
      <w:r w:rsidRPr="00CD7D5E">
        <w:rPr>
          <w:rFonts w:cstheme="minorHAnsi"/>
        </w:rPr>
        <w:t xml:space="preserve">. </w:t>
      </w:r>
    </w:p>
    <w:p w:rsidRPr="00CD7D5E" w:rsidR="00A3340B" w:rsidP="00CD7D5E" w:rsidRDefault="00A3340B" w14:paraId="33F030AF" w14:textId="07F08844">
      <w:pPr>
        <w:spacing w:after="0" w:line="240" w:lineRule="auto"/>
        <w:rPr>
          <w:rFonts w:cstheme="minorHAnsi"/>
        </w:rPr>
      </w:pPr>
    </w:p>
    <w:p w:rsidRPr="00CD7D5E" w:rsidR="00A3340B" w:rsidP="00CD7D5E" w:rsidRDefault="00A3340B" w14:paraId="06BEF155" w14:textId="39623B47">
      <w:pPr>
        <w:spacing w:after="0" w:line="240" w:lineRule="auto"/>
        <w:rPr>
          <w:rFonts w:cstheme="minorHAnsi"/>
          <w:u w:val="single"/>
        </w:rPr>
      </w:pPr>
      <w:r w:rsidRPr="00CD7D5E">
        <w:rPr>
          <w:rFonts w:cstheme="minorHAnsi"/>
          <w:u w:val="single"/>
        </w:rPr>
        <w:t xml:space="preserve">Monitoring of forced returns: </w:t>
      </w:r>
    </w:p>
    <w:p w:rsidRPr="00CD7D5E" w:rsidR="00A3340B" w:rsidP="00CD7D5E" w:rsidRDefault="00A3340B" w14:paraId="0888DA0E" w14:textId="46FEDE4E">
      <w:pPr>
        <w:spacing w:after="0" w:line="240" w:lineRule="auto"/>
        <w:rPr>
          <w:rFonts w:cstheme="minorHAnsi"/>
        </w:rPr>
      </w:pPr>
      <w:r w:rsidRPr="00CD7D5E">
        <w:rPr>
          <w:rFonts w:cstheme="minorHAnsi"/>
        </w:rPr>
        <w:t xml:space="preserve">Even if Norway since 2010 has been obliged, according to the </w:t>
      </w:r>
      <w:hyperlink w:history="1" r:id="rId24">
        <w:r w:rsidRPr="00CD7D5E">
          <w:rPr>
            <w:rStyle w:val="Hyperlink"/>
            <w:rFonts w:cstheme="minorHAnsi"/>
          </w:rPr>
          <w:t>EUs Return Directive</w:t>
        </w:r>
      </w:hyperlink>
      <w:r w:rsidRPr="00CD7D5E">
        <w:rPr>
          <w:rFonts w:cstheme="minorHAnsi"/>
        </w:rPr>
        <w:t xml:space="preserve">, to have a system for independent monitoring of forced returns – such a system has not yet been implemented.  </w:t>
      </w:r>
    </w:p>
    <w:p w:rsidRPr="00CD7D5E" w:rsidR="00A3340B" w:rsidP="00CD7D5E" w:rsidRDefault="00A3340B" w14:paraId="320D761A" w14:textId="3D7FD096">
      <w:pPr>
        <w:spacing w:after="0" w:line="240" w:lineRule="auto"/>
        <w:rPr>
          <w:rFonts w:eastAsia="Times New Roman" w:cstheme="minorHAnsi"/>
          <w:spacing w:val="5"/>
          <w:lang w:eastAsia="nb-NO"/>
        </w:rPr>
      </w:pPr>
      <w:r w:rsidRPr="00CD7D5E">
        <w:rPr>
          <w:rFonts w:eastAsia="Times New Roman" w:cstheme="minorHAnsi"/>
          <w:spacing w:val="5"/>
          <w:lang w:eastAsia="nb-NO"/>
        </w:rPr>
        <w:t xml:space="preserve">In September 2019, the government sent a </w:t>
      </w:r>
      <w:hyperlink w:history="1" r:id="rId25">
        <w:r w:rsidRPr="00CD7D5E">
          <w:rPr>
            <w:rStyle w:val="Hyperlink"/>
            <w:rFonts w:eastAsia="Times New Roman" w:cstheme="minorHAnsi"/>
            <w:spacing w:val="5"/>
            <w:lang w:eastAsia="nb-NO"/>
          </w:rPr>
          <w:t>suggestion for regulation</w:t>
        </w:r>
      </w:hyperlink>
      <w:r w:rsidRPr="00CD7D5E">
        <w:rPr>
          <w:rFonts w:eastAsia="Times New Roman" w:cstheme="minorHAnsi"/>
          <w:spacing w:val="5"/>
          <w:lang w:eastAsia="nb-NO"/>
        </w:rPr>
        <w:t xml:space="preserve"> </w:t>
      </w:r>
      <w:r w:rsidRPr="00CD7D5E" w:rsidR="00FD6A7A">
        <w:rPr>
          <w:rFonts w:eastAsia="Times New Roman" w:cstheme="minorHAnsi"/>
          <w:spacing w:val="5"/>
          <w:lang w:eastAsia="nb-NO"/>
        </w:rPr>
        <w:t>of monitoring of returns on public hearing. We are however concerned that the system for monitoring suggested is not sufficiently independent. It is suggested that the Ministry of Justice and Public Security</w:t>
      </w:r>
      <w:r w:rsidRPr="00CD7D5E" w:rsidR="00CD7D5E">
        <w:rPr>
          <w:rFonts w:eastAsia="Times New Roman" w:cstheme="minorHAnsi"/>
          <w:spacing w:val="5"/>
          <w:lang w:eastAsia="nb-NO"/>
        </w:rPr>
        <w:t>, who is responsible for the police and forced returns, should appoint members of the board responsible for the monitoring. It would also impact the independence of the board that it has no secretary, but is served by employees in the police</w:t>
      </w:r>
      <w:r w:rsidR="00124247">
        <w:rPr>
          <w:rFonts w:eastAsia="Times New Roman" w:cstheme="minorHAnsi"/>
          <w:spacing w:val="5"/>
          <w:lang w:eastAsia="nb-NO"/>
        </w:rPr>
        <w:t xml:space="preserve">. The board’s financial means are </w:t>
      </w:r>
      <w:r w:rsidRPr="00CD7D5E" w:rsidR="00CD7D5E">
        <w:rPr>
          <w:rFonts w:eastAsia="Times New Roman" w:cstheme="minorHAnsi"/>
          <w:spacing w:val="5"/>
          <w:lang w:eastAsia="nb-NO"/>
        </w:rPr>
        <w:t xml:space="preserve">administered by the police, and participation during forced returns are organised by the police. </w:t>
      </w:r>
    </w:p>
    <w:p w:rsidRPr="00CD7D5E" w:rsidR="00A3340B" w:rsidP="00CD7D5E" w:rsidRDefault="00A3340B" w14:paraId="344ABEC7" w14:textId="03716AA4">
      <w:pPr>
        <w:spacing w:after="0" w:line="240" w:lineRule="auto"/>
        <w:rPr>
          <w:rFonts w:eastAsia="Times New Roman" w:cstheme="minorHAnsi"/>
          <w:spacing w:val="5"/>
          <w:lang w:eastAsia="nb-NO"/>
        </w:rPr>
      </w:pPr>
    </w:p>
    <w:p w:rsidR="00CD7D5E" w:rsidP="00CD7D5E" w:rsidRDefault="00CD7D5E" w14:paraId="3114BAAB" w14:textId="2D85A9CC">
      <w:pPr>
        <w:spacing w:after="0" w:line="240" w:lineRule="auto"/>
        <w:rPr>
          <w:rFonts w:eastAsia="Times New Roman" w:cstheme="minorHAnsi"/>
          <w:spacing w:val="5"/>
          <w:lang w:eastAsia="nb-NO"/>
        </w:rPr>
      </w:pPr>
      <w:r w:rsidRPr="00CD7D5E">
        <w:rPr>
          <w:rFonts w:eastAsia="Times New Roman" w:cstheme="minorHAnsi"/>
          <w:spacing w:val="5"/>
          <w:lang w:eastAsia="nb-NO"/>
        </w:rPr>
        <w:t>As to NOAS’ knowledg</w:t>
      </w:r>
      <w:r w:rsidR="00124247">
        <w:rPr>
          <w:rFonts w:eastAsia="Times New Roman" w:cstheme="minorHAnsi"/>
          <w:spacing w:val="5"/>
          <w:lang w:eastAsia="nb-NO"/>
        </w:rPr>
        <w:t>e, the Ministry has still not finalised the case</w:t>
      </w:r>
      <w:r w:rsidRPr="00CD7D5E">
        <w:rPr>
          <w:rFonts w:eastAsia="Times New Roman" w:cstheme="minorHAnsi"/>
          <w:spacing w:val="5"/>
          <w:lang w:eastAsia="nb-NO"/>
        </w:rPr>
        <w:t xml:space="preserve">. </w:t>
      </w:r>
    </w:p>
    <w:p w:rsidRPr="00CD7D5E" w:rsidR="00F86B5D" w:rsidP="00CD7D5E" w:rsidRDefault="00F86B5D" w14:paraId="4062ABD7" w14:textId="77777777">
      <w:pPr>
        <w:spacing w:after="0" w:line="240" w:lineRule="auto"/>
        <w:rPr>
          <w:rFonts w:eastAsia="Times New Roman" w:cstheme="minorHAnsi"/>
          <w:spacing w:val="5"/>
          <w:lang w:eastAsia="nb-NO"/>
        </w:rPr>
      </w:pPr>
    </w:p>
    <w:p w:rsidRPr="00B070DF" w:rsidR="00B47840" w:rsidP="00CD7D5E" w:rsidRDefault="00B47840" w14:paraId="72ABFD75" w14:textId="02E37395">
      <w:pPr>
        <w:spacing w:after="0" w:line="240" w:lineRule="auto"/>
        <w:jc w:val="both"/>
        <w:rPr>
          <w:rFonts w:cstheme="minorHAnsi"/>
        </w:rPr>
      </w:pPr>
    </w:p>
    <w:p w:rsidRPr="00B47840" w:rsidR="00586F0D" w:rsidP="00B0377E" w:rsidRDefault="00586F0D" w14:paraId="34FD8D23" w14:textId="51DD8FC0">
      <w:pPr>
        <w:pStyle w:val="ListParagraph"/>
        <w:numPr>
          <w:ilvl w:val="0"/>
          <w:numId w:val="2"/>
        </w:numPr>
        <w:tabs>
          <w:tab w:val="left" w:pos="644"/>
        </w:tabs>
        <w:spacing w:line="302" w:lineRule="auto"/>
        <w:ind w:right="836"/>
        <w:jc w:val="both"/>
        <w:rPr>
          <w:b/>
          <w:sz w:val="21"/>
        </w:rPr>
      </w:pPr>
      <w:r>
        <w:rPr>
          <w:b/>
          <w:color w:val="333399"/>
          <w:sz w:val="21"/>
        </w:rPr>
        <w:t xml:space="preserve">Resettlement and humanitarian admission </w:t>
      </w:r>
      <w:proofErr w:type="spellStart"/>
      <w:r>
        <w:rPr>
          <w:b/>
          <w:color w:val="333399"/>
          <w:sz w:val="21"/>
        </w:rPr>
        <w:t>programmes</w:t>
      </w:r>
      <w:proofErr w:type="spellEnd"/>
      <w:r>
        <w:rPr>
          <w:b/>
          <w:color w:val="333399"/>
          <w:sz w:val="21"/>
        </w:rPr>
        <w:t xml:space="preserve"> (including EU Joint </w:t>
      </w:r>
      <w:r>
        <w:rPr>
          <w:b/>
          <w:color w:val="333399"/>
          <w:spacing w:val="-2"/>
          <w:sz w:val="21"/>
        </w:rPr>
        <w:t xml:space="preserve">Resettlement </w:t>
      </w:r>
      <w:r>
        <w:rPr>
          <w:b/>
          <w:color w:val="333399"/>
          <w:sz w:val="21"/>
        </w:rPr>
        <w:t xml:space="preserve">Programme, national resettlement </w:t>
      </w:r>
      <w:proofErr w:type="spellStart"/>
      <w:r>
        <w:rPr>
          <w:b/>
          <w:color w:val="333399"/>
          <w:sz w:val="21"/>
        </w:rPr>
        <w:t>programme</w:t>
      </w:r>
      <w:proofErr w:type="spellEnd"/>
      <w:r>
        <w:rPr>
          <w:b/>
          <w:color w:val="333399"/>
          <w:sz w:val="21"/>
        </w:rPr>
        <w:t xml:space="preserve"> (UNHCR), National Humanitarian Admission Programme, private sponsorship </w:t>
      </w:r>
      <w:proofErr w:type="spellStart"/>
      <w:r>
        <w:rPr>
          <w:b/>
          <w:color w:val="333399"/>
          <w:sz w:val="21"/>
        </w:rPr>
        <w:t>programmes</w:t>
      </w:r>
      <w:proofErr w:type="spellEnd"/>
      <w:r>
        <w:rPr>
          <w:b/>
          <w:color w:val="333399"/>
          <w:sz w:val="21"/>
        </w:rPr>
        <w:t>/schemes and ad hoc special</w:t>
      </w:r>
      <w:r>
        <w:rPr>
          <w:b/>
          <w:color w:val="333399"/>
          <w:spacing w:val="-1"/>
          <w:sz w:val="21"/>
        </w:rPr>
        <w:t xml:space="preserve"> </w:t>
      </w:r>
      <w:proofErr w:type="spellStart"/>
      <w:r>
        <w:rPr>
          <w:b/>
          <w:color w:val="333399"/>
          <w:sz w:val="21"/>
        </w:rPr>
        <w:t>programmes</w:t>
      </w:r>
      <w:proofErr w:type="spellEnd"/>
      <w:r>
        <w:rPr>
          <w:b/>
          <w:color w:val="333399"/>
          <w:sz w:val="21"/>
        </w:rPr>
        <w:t>)</w:t>
      </w:r>
    </w:p>
    <w:p w:rsidRPr="00CD7D5E" w:rsidR="00A70234" w:rsidP="00A70234" w:rsidRDefault="00A70234" w14:paraId="326A6B40" w14:textId="77777777">
      <w:pPr>
        <w:spacing w:after="0" w:line="240" w:lineRule="auto"/>
        <w:rPr>
          <w:rFonts w:cstheme="minorHAnsi"/>
        </w:rPr>
      </w:pPr>
    </w:p>
    <w:p w:rsidR="00A70234" w:rsidP="00F86B5D" w:rsidRDefault="00A70234" w14:paraId="2652851B" w14:textId="63860E45">
      <w:pPr>
        <w:spacing w:after="0" w:line="240" w:lineRule="auto"/>
        <w:rPr>
          <w:rFonts w:cstheme="minorHAnsi"/>
        </w:rPr>
      </w:pPr>
      <w:r w:rsidRPr="00A70234">
        <w:rPr>
          <w:rFonts w:cstheme="minorHAnsi"/>
        </w:rPr>
        <w:t>The Norwegian Parliament d</w:t>
      </w:r>
      <w:r>
        <w:rPr>
          <w:rFonts w:cstheme="minorHAnsi"/>
        </w:rPr>
        <w:t>ecided that 3000 refugees should</w:t>
      </w:r>
      <w:r w:rsidRPr="00A70234">
        <w:rPr>
          <w:rFonts w:cstheme="minorHAnsi"/>
        </w:rPr>
        <w:t xml:space="preserve"> be resettled in 2020. However, </w:t>
      </w:r>
      <w:hyperlink w:history="1" r:id="rId26">
        <w:r w:rsidRPr="00A70234">
          <w:rPr>
            <w:rStyle w:val="Hyperlink"/>
            <w:rFonts w:cstheme="minorHAnsi"/>
          </w:rPr>
          <w:t>due to Covid-19</w:t>
        </w:r>
      </w:hyperlink>
      <w:r w:rsidRPr="00A70234">
        <w:rPr>
          <w:rFonts w:cstheme="minorHAnsi"/>
        </w:rPr>
        <w:t xml:space="preserve">, only about </w:t>
      </w:r>
      <w:hyperlink w:history="1" r:id="rId27">
        <w:r w:rsidRPr="00A70234">
          <w:rPr>
            <w:rStyle w:val="Hyperlink"/>
            <w:rFonts w:cstheme="minorHAnsi"/>
          </w:rPr>
          <w:t xml:space="preserve">half of this number of </w:t>
        </w:r>
        <w:r>
          <w:rPr>
            <w:rStyle w:val="Hyperlink"/>
            <w:rFonts w:cstheme="minorHAnsi"/>
          </w:rPr>
          <w:t xml:space="preserve">resettled </w:t>
        </w:r>
        <w:r w:rsidRPr="00A70234">
          <w:rPr>
            <w:rStyle w:val="Hyperlink"/>
            <w:rFonts w:cstheme="minorHAnsi"/>
          </w:rPr>
          <w:t>refugees</w:t>
        </w:r>
      </w:hyperlink>
      <w:r>
        <w:rPr>
          <w:rFonts w:cstheme="minorHAnsi"/>
        </w:rPr>
        <w:t xml:space="preserve"> arrived in</w:t>
      </w:r>
      <w:r w:rsidRPr="00A70234">
        <w:rPr>
          <w:rFonts w:cstheme="minorHAnsi"/>
        </w:rPr>
        <w:t xml:space="preserve"> </w:t>
      </w:r>
      <w:r>
        <w:rPr>
          <w:rFonts w:cstheme="minorHAnsi"/>
        </w:rPr>
        <w:t xml:space="preserve">Norway last year. </w:t>
      </w:r>
    </w:p>
    <w:p w:rsidRPr="00B070DF" w:rsidR="001168E5" w:rsidP="00F86B5D" w:rsidRDefault="001168E5" w14:paraId="02653E88" w14:textId="178FC9EA">
      <w:pPr>
        <w:tabs>
          <w:tab w:val="left" w:pos="644"/>
        </w:tabs>
        <w:spacing w:after="0" w:line="240" w:lineRule="auto"/>
        <w:ind w:right="836"/>
        <w:jc w:val="both"/>
        <w:rPr>
          <w:rFonts w:cstheme="minorHAnsi"/>
          <w:b/>
        </w:rPr>
      </w:pPr>
    </w:p>
    <w:p w:rsidRPr="00B070DF" w:rsidR="00F86B5D" w:rsidP="00F86B5D" w:rsidRDefault="00F86B5D" w14:paraId="0241DDB8" w14:textId="77777777">
      <w:pPr>
        <w:tabs>
          <w:tab w:val="left" w:pos="644"/>
        </w:tabs>
        <w:spacing w:after="0" w:line="240" w:lineRule="auto"/>
        <w:ind w:right="836"/>
        <w:jc w:val="both"/>
        <w:rPr>
          <w:rFonts w:cstheme="minorHAnsi"/>
          <w:b/>
        </w:rPr>
      </w:pPr>
    </w:p>
    <w:p w:rsidRPr="00586F0D" w:rsidR="00586F0D" w:rsidP="00B0377E" w:rsidRDefault="00586F0D" w14:paraId="7822211C" w14:textId="40B2F82D">
      <w:pPr>
        <w:pStyle w:val="ListParagraph"/>
        <w:numPr>
          <w:ilvl w:val="0"/>
          <w:numId w:val="2"/>
        </w:numPr>
        <w:tabs>
          <w:tab w:val="left" w:pos="586"/>
        </w:tabs>
        <w:spacing w:before="113" w:after="4" w:line="302" w:lineRule="auto"/>
        <w:ind w:right="322"/>
        <w:jc w:val="both"/>
        <w:rPr>
          <w:b/>
          <w:sz w:val="21"/>
        </w:rPr>
      </w:pPr>
      <w:r>
        <w:rPr>
          <w:b/>
          <w:color w:val="333399"/>
          <w:sz w:val="21"/>
        </w:rPr>
        <w:t xml:space="preserve">Relocation (ad hoc, emergency relocation; developments in activities </w:t>
      </w:r>
      <w:proofErr w:type="spellStart"/>
      <w:r>
        <w:rPr>
          <w:b/>
          <w:color w:val="333399"/>
          <w:sz w:val="21"/>
        </w:rPr>
        <w:t>organised</w:t>
      </w:r>
      <w:proofErr w:type="spellEnd"/>
      <w:r>
        <w:rPr>
          <w:b/>
          <w:color w:val="333399"/>
          <w:sz w:val="21"/>
        </w:rPr>
        <w:t xml:space="preserve"> under </w:t>
      </w:r>
      <w:r>
        <w:rPr>
          <w:b/>
          <w:color w:val="333399"/>
          <w:spacing w:val="-3"/>
          <w:sz w:val="21"/>
        </w:rPr>
        <w:t xml:space="preserve">national </w:t>
      </w:r>
      <w:r>
        <w:rPr>
          <w:b/>
          <w:color w:val="333399"/>
          <w:sz w:val="21"/>
        </w:rPr>
        <w:t>schemes or on a bilateral basis)</w:t>
      </w:r>
    </w:p>
    <w:p w:rsidR="00586F0D" w:rsidP="008B773B" w:rsidRDefault="00586F0D" w14:paraId="2CE7B2BC" w14:textId="76987954">
      <w:pPr>
        <w:spacing w:after="0" w:line="240" w:lineRule="auto"/>
        <w:jc w:val="both"/>
      </w:pPr>
    </w:p>
    <w:p w:rsidR="003174EA" w:rsidP="008B773B" w:rsidRDefault="003174EA" w14:paraId="52737A09" w14:textId="32031842">
      <w:pPr>
        <w:spacing w:after="0" w:line="240" w:lineRule="auto"/>
        <w:jc w:val="both"/>
      </w:pPr>
      <w:r>
        <w:t>Norway has in 2020 not relocate</w:t>
      </w:r>
      <w:r w:rsidR="004B680D">
        <w:t>d</w:t>
      </w:r>
      <w:r>
        <w:t xml:space="preserve"> any asylum seekers. After the fire in the </w:t>
      </w:r>
      <w:proofErr w:type="spellStart"/>
      <w:r>
        <w:t>Moria</w:t>
      </w:r>
      <w:proofErr w:type="spellEnd"/>
      <w:r>
        <w:t xml:space="preserve"> refugee camp in Greece, the government </w:t>
      </w:r>
      <w:hyperlink w:history="1" r:id="rId28">
        <w:r w:rsidRPr="003174EA">
          <w:rPr>
            <w:rStyle w:val="Hyperlink"/>
          </w:rPr>
          <w:t>decide</w:t>
        </w:r>
        <w:r w:rsidR="006966EE">
          <w:rPr>
            <w:rStyle w:val="Hyperlink"/>
          </w:rPr>
          <w:t>d</w:t>
        </w:r>
        <w:r w:rsidRPr="003174EA">
          <w:rPr>
            <w:rStyle w:val="Hyperlink"/>
          </w:rPr>
          <w:t xml:space="preserve"> to relocate 50 asylum seekers from Greece</w:t>
        </w:r>
      </w:hyperlink>
      <w:r>
        <w:t>. It was decided that the asylum seekers should be vulnerable families from Syria.</w:t>
      </w:r>
      <w:r w:rsidR="008B773B">
        <w:t xml:space="preserve"> The actual relocation of the families has however been delaye</w:t>
      </w:r>
      <w:r w:rsidR="006966EE">
        <w:t>d, and is not expected</w:t>
      </w:r>
      <w:r w:rsidR="008B773B">
        <w:t xml:space="preserve"> </w:t>
      </w:r>
      <w:hyperlink w:history="1" r:id="rId29">
        <w:r w:rsidRPr="008B773B" w:rsidR="008B773B">
          <w:rPr>
            <w:rStyle w:val="Hyperlink"/>
          </w:rPr>
          <w:t>before March</w:t>
        </w:r>
      </w:hyperlink>
      <w:r w:rsidR="006966EE">
        <w:rPr>
          <w:rStyle w:val="Hyperlink"/>
        </w:rPr>
        <w:t xml:space="preserve"> 2021</w:t>
      </w:r>
      <w:r w:rsidR="008B773B">
        <w:t xml:space="preserve">. </w:t>
      </w:r>
      <w:r>
        <w:t xml:space="preserve">  </w:t>
      </w:r>
    </w:p>
    <w:p w:rsidR="00B47840" w:rsidP="008B773B" w:rsidRDefault="00B47840" w14:paraId="2CE1D86F" w14:textId="46A96078">
      <w:pPr>
        <w:spacing w:after="0" w:line="240" w:lineRule="auto"/>
        <w:jc w:val="both"/>
      </w:pPr>
    </w:p>
    <w:p w:rsidR="00B47840" w:rsidP="008B773B" w:rsidRDefault="00B47840" w14:paraId="752CF5C0" w14:textId="58DCAB87">
      <w:pPr>
        <w:spacing w:after="0" w:line="240" w:lineRule="auto"/>
        <w:jc w:val="both"/>
      </w:pPr>
    </w:p>
    <w:p w:rsidR="00586F0D" w:rsidP="00B0377E" w:rsidRDefault="00586F0D" w14:paraId="202EDBCD" w14:textId="75ED1FE5">
      <w:pPr>
        <w:pStyle w:val="ListParagraph"/>
        <w:numPr>
          <w:ilvl w:val="0"/>
          <w:numId w:val="2"/>
        </w:numPr>
        <w:tabs>
          <w:tab w:val="left" w:pos="644"/>
        </w:tabs>
        <w:spacing w:after="4" w:line="302" w:lineRule="auto"/>
        <w:ind w:right="310"/>
        <w:jc w:val="both"/>
        <w:rPr>
          <w:b/>
          <w:sz w:val="21"/>
        </w:rPr>
      </w:pPr>
      <w:r>
        <w:rPr>
          <w:b/>
          <w:color w:val="333399"/>
          <w:sz w:val="21"/>
        </w:rPr>
        <w:t>National jurisprudence on international protection in 20</w:t>
      </w:r>
      <w:r w:rsidR="00172C8E">
        <w:rPr>
          <w:b/>
          <w:color w:val="333399"/>
          <w:sz w:val="21"/>
        </w:rPr>
        <w:t>20</w:t>
      </w:r>
      <w:r>
        <w:rPr>
          <w:b/>
          <w:color w:val="333399"/>
          <w:sz w:val="21"/>
        </w:rPr>
        <w:t xml:space="preserve"> (please include a link to the </w:t>
      </w:r>
      <w:r>
        <w:rPr>
          <w:b/>
          <w:color w:val="333399"/>
          <w:spacing w:val="-3"/>
          <w:sz w:val="21"/>
        </w:rPr>
        <w:t xml:space="preserve">relevant </w:t>
      </w:r>
      <w:r>
        <w:rPr>
          <w:b/>
          <w:color w:val="333399"/>
          <w:sz w:val="21"/>
        </w:rPr>
        <w:t>case law and/or submit cases to the</w:t>
      </w:r>
      <w:r>
        <w:rPr>
          <w:b/>
          <w:color w:val="0068D6"/>
          <w:sz w:val="21"/>
        </w:rPr>
        <w:t xml:space="preserve"> </w:t>
      </w:r>
      <w:hyperlink r:id="rId30">
        <w:r>
          <w:rPr>
            <w:b/>
            <w:color w:val="0068D6"/>
            <w:sz w:val="21"/>
            <w:u w:val="single" w:color="0068D6"/>
          </w:rPr>
          <w:t>EASO Case Law</w:t>
        </w:r>
        <w:r>
          <w:rPr>
            <w:b/>
            <w:color w:val="0068D6"/>
            <w:spacing w:val="2"/>
            <w:sz w:val="21"/>
            <w:u w:val="single" w:color="0068D6"/>
          </w:rPr>
          <w:t xml:space="preserve"> </w:t>
        </w:r>
        <w:r>
          <w:rPr>
            <w:b/>
            <w:color w:val="0068D6"/>
            <w:sz w:val="21"/>
            <w:u w:val="single" w:color="0068D6"/>
          </w:rPr>
          <w:t>Database</w:t>
        </w:r>
      </w:hyperlink>
      <w:r>
        <w:rPr>
          <w:b/>
          <w:color w:val="333399"/>
          <w:sz w:val="21"/>
        </w:rPr>
        <w:t>)</w:t>
      </w:r>
    </w:p>
    <w:p w:rsidR="00586F0D" w:rsidP="00256E0C" w:rsidRDefault="00586F0D" w14:paraId="4865743B" w14:textId="7728D3EC">
      <w:pPr>
        <w:spacing w:after="0" w:line="240" w:lineRule="auto"/>
        <w:jc w:val="both"/>
      </w:pPr>
    </w:p>
    <w:p w:rsidR="00256E0C" w:rsidP="00256E0C" w:rsidRDefault="0047672B" w14:paraId="4793216B" w14:textId="43ADC154">
      <w:pPr>
        <w:spacing w:after="0" w:line="240" w:lineRule="auto"/>
        <w:jc w:val="both"/>
      </w:pPr>
      <w:r>
        <w:t>The Norwegian S</w:t>
      </w:r>
      <w:r w:rsidR="00774977">
        <w:t xml:space="preserve">upreme </w:t>
      </w:r>
      <w:r>
        <w:t>C</w:t>
      </w:r>
      <w:r w:rsidR="00774977">
        <w:t xml:space="preserve">ourt </w:t>
      </w:r>
      <w:hyperlink w:history="1" r:id="rId31">
        <w:r w:rsidRPr="00B5440B" w:rsidR="00774977">
          <w:rPr>
            <w:rStyle w:val="Hyperlink"/>
          </w:rPr>
          <w:t>has ruled</w:t>
        </w:r>
      </w:hyperlink>
      <w:r w:rsidR="00774977">
        <w:t xml:space="preserve"> that citizenship should, as a main rule, be used as a basis for determining which country that is an applicant’s country of nationality. There is however a possible exception in cases where an applicant’s change of citizenship may be considered as </w:t>
      </w:r>
      <w:r w:rsidR="00D76D20">
        <w:t>an abuse of the asylum system.</w:t>
      </w:r>
      <w:r>
        <w:t xml:space="preserve"> </w:t>
      </w:r>
    </w:p>
    <w:p w:rsidR="00256E0C" w:rsidP="00256E0C" w:rsidRDefault="00256E0C" w14:paraId="7BDE7F0B" w14:textId="77777777">
      <w:pPr>
        <w:spacing w:after="0" w:line="240" w:lineRule="auto"/>
        <w:jc w:val="both"/>
      </w:pPr>
    </w:p>
    <w:p w:rsidR="00B47840" w:rsidP="00256E0C" w:rsidRDefault="00874ADA" w14:paraId="30337E0C" w14:textId="1484D95B">
      <w:pPr>
        <w:spacing w:after="0" w:line="240" w:lineRule="auto"/>
        <w:jc w:val="both"/>
      </w:pPr>
      <w:hyperlink w:history="1" r:id="rId32">
        <w:r w:rsidRPr="00A443E3" w:rsidR="0047672B">
          <w:rPr>
            <w:rStyle w:val="Hyperlink"/>
          </w:rPr>
          <w:t>In another ruling</w:t>
        </w:r>
      </w:hyperlink>
      <w:r w:rsidR="0047672B">
        <w:t xml:space="preserve">, </w:t>
      </w:r>
      <w:r w:rsidRPr="00B5440B" w:rsidR="00B30119">
        <w:t>the Supreme Court concluded that neither the 1951 Refugee Convention nor the Norwegian Immigration Act provide ba</w:t>
      </w:r>
      <w:r w:rsidR="00256E0C">
        <w:t>sis for considering (a possible</w:t>
      </w:r>
      <w:r w:rsidRPr="00B5440B" w:rsidR="00B30119">
        <w:t>) forced return as a relevant factor in the assessment on whether asylum should be granted</w:t>
      </w:r>
      <w:r w:rsidR="00256E0C">
        <w:t>.</w:t>
      </w:r>
    </w:p>
    <w:p w:rsidR="00B47840" w:rsidP="00256E0C" w:rsidRDefault="00B47840" w14:paraId="7E1D51B7" w14:textId="4BEE228D">
      <w:pPr>
        <w:spacing w:after="0" w:line="240" w:lineRule="auto"/>
        <w:jc w:val="both"/>
      </w:pPr>
    </w:p>
    <w:p w:rsidR="00586F0D" w:rsidP="00B0377E" w:rsidRDefault="00586F0D" w14:paraId="5595BDCA" w14:textId="5E5E3C93">
      <w:pPr>
        <w:pStyle w:val="ListParagraph"/>
        <w:numPr>
          <w:ilvl w:val="0"/>
          <w:numId w:val="2"/>
        </w:numPr>
        <w:tabs>
          <w:tab w:val="left" w:pos="469"/>
        </w:tabs>
        <w:jc w:val="both"/>
        <w:rPr>
          <w:b/>
          <w:color w:val="333399"/>
          <w:sz w:val="21"/>
        </w:rPr>
      </w:pPr>
      <w:r>
        <w:rPr>
          <w:b/>
          <w:color w:val="333399"/>
          <w:sz w:val="21"/>
        </w:rPr>
        <w:lastRenderedPageBreak/>
        <w:t>Other important developments in 20</w:t>
      </w:r>
      <w:r w:rsidR="00172C8E">
        <w:rPr>
          <w:b/>
          <w:color w:val="333399"/>
          <w:sz w:val="21"/>
        </w:rPr>
        <w:t>20</w:t>
      </w:r>
    </w:p>
    <w:p w:rsidRPr="00C73BB6" w:rsidR="00586F0D" w:rsidP="00C73BB6" w:rsidRDefault="00586F0D" w14:paraId="6AAFDC01" w14:textId="33B60C03">
      <w:pPr>
        <w:tabs>
          <w:tab w:val="left" w:pos="469"/>
        </w:tabs>
        <w:spacing w:after="0" w:line="240" w:lineRule="auto"/>
        <w:rPr>
          <w:rFonts w:cstheme="minorHAnsi"/>
        </w:rPr>
      </w:pPr>
    </w:p>
    <w:p w:rsidRPr="00B16025" w:rsidR="000C6C8C" w:rsidP="00B16025" w:rsidRDefault="00C73BB6" w14:paraId="0BEA568F" w14:textId="7C45B9C5">
      <w:pPr>
        <w:tabs>
          <w:tab w:val="left" w:pos="469"/>
        </w:tabs>
        <w:spacing w:after="0" w:line="240" w:lineRule="auto"/>
        <w:rPr>
          <w:rFonts w:cstheme="minorHAnsi"/>
        </w:rPr>
      </w:pPr>
      <w:r w:rsidRPr="00B16025">
        <w:rPr>
          <w:rFonts w:cstheme="minorHAnsi"/>
        </w:rPr>
        <w:t xml:space="preserve">Further </w:t>
      </w:r>
      <w:hyperlink w:history="1" r:id="rId33">
        <w:r w:rsidRPr="00B16025">
          <w:rPr>
            <w:rStyle w:val="Hyperlink"/>
            <w:rFonts w:cstheme="minorHAnsi"/>
          </w:rPr>
          <w:t>restrictions in asylum policy where decided</w:t>
        </w:r>
      </w:hyperlink>
      <w:r w:rsidRPr="00B16025">
        <w:rPr>
          <w:rFonts w:cstheme="minorHAnsi"/>
        </w:rPr>
        <w:t xml:space="preserve"> in December 2020</w:t>
      </w:r>
      <w:r w:rsidRPr="00B16025" w:rsidR="000C6C8C">
        <w:rPr>
          <w:rFonts w:cstheme="minorHAnsi"/>
        </w:rPr>
        <w:t>, without the normal</w:t>
      </w:r>
      <w:r w:rsidR="002C58A4">
        <w:rPr>
          <w:rFonts w:cstheme="minorHAnsi"/>
        </w:rPr>
        <w:t xml:space="preserve"> process of</w:t>
      </w:r>
      <w:r w:rsidRPr="00B16025" w:rsidR="000C6C8C">
        <w:rPr>
          <w:rFonts w:cstheme="minorHAnsi"/>
        </w:rPr>
        <w:t xml:space="preserve"> parliament committee assessment and hearing</w:t>
      </w:r>
      <w:r w:rsidR="005F05D8">
        <w:rPr>
          <w:rFonts w:cstheme="minorHAnsi"/>
        </w:rPr>
        <w:t>:</w:t>
      </w:r>
    </w:p>
    <w:p w:rsidRPr="00B16025" w:rsidR="000C6C8C" w:rsidP="00B16025" w:rsidRDefault="000C6C8C" w14:paraId="0F51B9D9" w14:textId="77777777">
      <w:pPr>
        <w:tabs>
          <w:tab w:val="left" w:pos="469"/>
        </w:tabs>
        <w:spacing w:after="0" w:line="240" w:lineRule="auto"/>
        <w:rPr>
          <w:rFonts w:cstheme="minorHAnsi"/>
        </w:rPr>
      </w:pPr>
    </w:p>
    <w:p w:rsidRPr="00B16025" w:rsidR="00C73BB6" w:rsidP="00B16025" w:rsidRDefault="00C73BB6" w14:paraId="55DD89E7" w14:textId="5283C66F">
      <w:pPr>
        <w:tabs>
          <w:tab w:val="left" w:pos="469"/>
        </w:tabs>
        <w:spacing w:after="0" w:line="240" w:lineRule="auto"/>
        <w:rPr>
          <w:rFonts w:cstheme="minorHAnsi"/>
        </w:rPr>
      </w:pPr>
      <w:r w:rsidRPr="00B16025">
        <w:rPr>
          <w:rFonts w:cstheme="minorHAnsi"/>
        </w:rPr>
        <w:t xml:space="preserve">In the state budget agreement between the government and the Progress Party, </w:t>
      </w:r>
      <w:r w:rsidRPr="00B16025" w:rsidR="000C6C8C">
        <w:rPr>
          <w:rFonts w:cstheme="minorHAnsi"/>
        </w:rPr>
        <w:t>it was agreed that the requirement for the number of years living in Norway before qualifying for permanent residency</w:t>
      </w:r>
      <w:r w:rsidRPr="00B16025">
        <w:rPr>
          <w:rFonts w:cstheme="minorHAnsi"/>
        </w:rPr>
        <w:t xml:space="preserve"> </w:t>
      </w:r>
      <w:r w:rsidR="00525F71">
        <w:rPr>
          <w:rFonts w:cstheme="minorHAnsi"/>
        </w:rPr>
        <w:t xml:space="preserve">should be </w:t>
      </w:r>
      <w:r w:rsidRPr="00B16025" w:rsidR="000C6C8C">
        <w:rPr>
          <w:rFonts w:cstheme="minorHAnsi"/>
        </w:rPr>
        <w:t xml:space="preserve">raised from 3 to 5 years. </w:t>
      </w:r>
    </w:p>
    <w:p w:rsidRPr="00B16025" w:rsidR="00B16025" w:rsidP="00B16025" w:rsidRDefault="00B16025" w14:paraId="38B7F57E" w14:textId="474922B5">
      <w:pPr>
        <w:tabs>
          <w:tab w:val="left" w:pos="469"/>
        </w:tabs>
        <w:spacing w:after="0" w:line="240" w:lineRule="auto"/>
        <w:rPr>
          <w:rFonts w:cstheme="minorHAnsi"/>
        </w:rPr>
      </w:pPr>
    </w:p>
    <w:p w:rsidRPr="00B16025" w:rsidR="00B16025" w:rsidP="00B16025" w:rsidRDefault="000C6C8C" w14:paraId="4E59093C" w14:textId="12819A1D">
      <w:pPr>
        <w:tabs>
          <w:tab w:val="left" w:pos="469"/>
        </w:tabs>
        <w:spacing w:after="0" w:line="240" w:lineRule="auto"/>
        <w:rPr>
          <w:rFonts w:cstheme="minorHAnsi"/>
        </w:rPr>
      </w:pPr>
      <w:r w:rsidRPr="00B16025">
        <w:rPr>
          <w:rFonts w:cstheme="minorHAnsi"/>
        </w:rPr>
        <w:t>The following</w:t>
      </w:r>
      <w:r w:rsidR="00A823EE">
        <w:rPr>
          <w:rFonts w:cstheme="minorHAnsi"/>
        </w:rPr>
        <w:t xml:space="preserve"> four restrictions where decided</w:t>
      </w:r>
      <w:r w:rsidRPr="00B16025">
        <w:rPr>
          <w:rFonts w:cstheme="minorHAnsi"/>
        </w:rPr>
        <w:t xml:space="preserve"> by the parliament after proposal from the Labour Party:</w:t>
      </w:r>
    </w:p>
    <w:p w:rsidRPr="00B16025" w:rsidR="000C6C8C" w:rsidP="00B16025" w:rsidRDefault="00B16025" w14:paraId="5F4336CC" w14:textId="777A5BA3">
      <w:pPr>
        <w:pStyle w:val="ListParagraph"/>
        <w:numPr>
          <w:ilvl w:val="0"/>
          <w:numId w:val="5"/>
        </w:numPr>
        <w:tabs>
          <w:tab w:val="left" w:pos="469"/>
        </w:tabs>
        <w:rPr>
          <w:rFonts w:asciiTheme="minorHAnsi" w:hAnsiTheme="minorHAnsi" w:cstheme="minorHAnsi"/>
        </w:rPr>
      </w:pPr>
      <w:r w:rsidRPr="00B16025">
        <w:rPr>
          <w:rFonts w:asciiTheme="minorHAnsi" w:hAnsiTheme="minorHAnsi" w:cstheme="minorHAnsi"/>
        </w:rPr>
        <w:t xml:space="preserve">Introduction of subsidiary protection, with restrictions in the right to family reunification and more use of temporary permissions. </w:t>
      </w:r>
    </w:p>
    <w:p w:rsidRPr="00B16025" w:rsidR="00B16025" w:rsidP="00B16025" w:rsidRDefault="00B16025" w14:paraId="2C1A6DBC" w14:textId="1532827D">
      <w:pPr>
        <w:pStyle w:val="ListParagraph"/>
        <w:numPr>
          <w:ilvl w:val="0"/>
          <w:numId w:val="5"/>
        </w:numPr>
        <w:tabs>
          <w:tab w:val="left" w:pos="469"/>
        </w:tabs>
        <w:rPr>
          <w:rFonts w:asciiTheme="minorHAnsi" w:hAnsiTheme="minorHAnsi" w:cstheme="minorHAnsi"/>
        </w:rPr>
      </w:pPr>
      <w:r w:rsidRPr="00B16025">
        <w:rPr>
          <w:rFonts w:asciiTheme="minorHAnsi" w:hAnsiTheme="minorHAnsi" w:cstheme="minorHAnsi"/>
        </w:rPr>
        <w:t>Developing a plan for Norway’s contribution to more effective fight again</w:t>
      </w:r>
      <w:r w:rsidR="00A823EE">
        <w:rPr>
          <w:rFonts w:asciiTheme="minorHAnsi" w:hAnsiTheme="minorHAnsi" w:cstheme="minorHAnsi"/>
        </w:rPr>
        <w:t>st irregular migration</w:t>
      </w:r>
      <w:r w:rsidRPr="00B16025">
        <w:rPr>
          <w:rFonts w:asciiTheme="minorHAnsi" w:hAnsiTheme="minorHAnsi" w:cstheme="minorHAnsi"/>
        </w:rPr>
        <w:t xml:space="preserve">, including making sure that today’s possibility to refer asylum seekers to safe third countries outside the EU is used actively. </w:t>
      </w:r>
    </w:p>
    <w:p w:rsidRPr="00B16025" w:rsidR="00B16025" w:rsidP="00B16025" w:rsidRDefault="00B16025" w14:paraId="08A2E27C" w14:textId="5E47F1CC">
      <w:pPr>
        <w:pStyle w:val="ListParagraph"/>
        <w:numPr>
          <w:ilvl w:val="0"/>
          <w:numId w:val="5"/>
        </w:numPr>
        <w:tabs>
          <w:tab w:val="left" w:pos="469"/>
        </w:tabs>
        <w:rPr>
          <w:rFonts w:asciiTheme="minorHAnsi" w:hAnsiTheme="minorHAnsi" w:cstheme="minorHAnsi"/>
        </w:rPr>
      </w:pPr>
      <w:r w:rsidRPr="00B16025">
        <w:rPr>
          <w:rFonts w:asciiTheme="minorHAnsi" w:hAnsiTheme="minorHAnsi" w:cstheme="minorHAnsi"/>
        </w:rPr>
        <w:t xml:space="preserve">Introduce the same requirements related to identity for permanent residency and family establishment as for citizenship. </w:t>
      </w:r>
    </w:p>
    <w:p w:rsidRPr="00B16025" w:rsidR="00B16025" w:rsidP="00B16025" w:rsidRDefault="00B16025" w14:paraId="09140AEF" w14:textId="1426506E">
      <w:pPr>
        <w:pStyle w:val="ListParagraph"/>
        <w:numPr>
          <w:ilvl w:val="0"/>
          <w:numId w:val="5"/>
        </w:numPr>
        <w:tabs>
          <w:tab w:val="left" w:pos="469"/>
        </w:tabs>
        <w:rPr>
          <w:rFonts w:asciiTheme="minorHAnsi" w:hAnsiTheme="minorHAnsi" w:cstheme="minorHAnsi"/>
        </w:rPr>
      </w:pPr>
      <w:r w:rsidRPr="00B16025">
        <w:rPr>
          <w:rFonts w:asciiTheme="minorHAnsi" w:hAnsiTheme="minorHAnsi" w:cstheme="minorHAnsi"/>
        </w:rPr>
        <w:t>Increasing the inco</w:t>
      </w:r>
      <w:r w:rsidR="00A823EE">
        <w:rPr>
          <w:rFonts w:asciiTheme="minorHAnsi" w:hAnsiTheme="minorHAnsi" w:cstheme="minorHAnsi"/>
        </w:rPr>
        <w:t>me requirement and assessing a</w:t>
      </w:r>
      <w:r w:rsidRPr="00B16025">
        <w:rPr>
          <w:rFonts w:asciiTheme="minorHAnsi" w:hAnsiTheme="minorHAnsi" w:cstheme="minorHAnsi"/>
        </w:rPr>
        <w:t xml:space="preserve"> possible restriction in the attachment criteria in family establishment cases. </w:t>
      </w:r>
    </w:p>
    <w:p w:rsidRPr="00B070DF" w:rsidR="001168E5" w:rsidP="00B16025" w:rsidRDefault="001168E5" w14:paraId="3A973C93" w14:textId="3471326A">
      <w:pPr>
        <w:tabs>
          <w:tab w:val="left" w:pos="469"/>
        </w:tabs>
        <w:spacing w:after="0" w:line="240" w:lineRule="auto"/>
        <w:rPr>
          <w:rFonts w:cstheme="minorHAnsi"/>
        </w:rPr>
      </w:pPr>
    </w:p>
    <w:p w:rsidRPr="00B070DF" w:rsidR="001168E5" w:rsidP="00C73BB6" w:rsidRDefault="001168E5" w14:paraId="1173E6B7" w14:textId="2666AC4F">
      <w:pPr>
        <w:tabs>
          <w:tab w:val="left" w:pos="469"/>
        </w:tabs>
        <w:spacing w:after="0" w:line="240" w:lineRule="auto"/>
        <w:rPr>
          <w:rFonts w:cstheme="minorHAnsi"/>
        </w:rPr>
      </w:pPr>
    </w:p>
    <w:p w:rsidRPr="00B070DF" w:rsidR="001168E5" w:rsidP="00C73BB6" w:rsidRDefault="001168E5" w14:paraId="4BED2485" w14:textId="77777777">
      <w:pPr>
        <w:tabs>
          <w:tab w:val="left" w:pos="469"/>
        </w:tabs>
        <w:spacing w:after="0" w:line="240" w:lineRule="auto"/>
        <w:rPr>
          <w:rFonts w:cstheme="minorHAnsi"/>
        </w:rPr>
      </w:pPr>
    </w:p>
    <w:p w:rsidRPr="00B070DF" w:rsidR="00B47840" w:rsidP="00C73BB6" w:rsidRDefault="00B47840" w14:paraId="67F3BF9C" w14:textId="0D0AC3F4">
      <w:pPr>
        <w:tabs>
          <w:tab w:val="left" w:pos="469"/>
        </w:tabs>
        <w:spacing w:after="0" w:line="240" w:lineRule="auto"/>
        <w:rPr>
          <w:rFonts w:cstheme="minorHAnsi"/>
        </w:rPr>
      </w:pPr>
    </w:p>
    <w:p w:rsidRPr="00586F0D" w:rsidR="00586F0D" w:rsidP="00586F0D" w:rsidRDefault="00586F0D" w14:paraId="3D728462" w14:textId="221E0B41">
      <w:pPr>
        <w:widowControl w:val="0"/>
        <w:autoSpaceDE w:val="0"/>
        <w:autoSpaceDN w:val="0"/>
        <w:spacing w:before="1" w:after="0" w:line="240" w:lineRule="auto"/>
        <w:ind w:left="235"/>
        <w:outlineLvl w:val="0"/>
        <w:rPr>
          <w:rFonts w:ascii="Arial Unicode MS" w:hAnsi="Arial Unicode MS" w:eastAsia="Arial Unicode MS" w:cs="Arial Unicode MS"/>
          <w:sz w:val="30"/>
          <w:szCs w:val="30"/>
          <w:lang w:val="en-US"/>
        </w:rPr>
      </w:pPr>
      <w:r w:rsidRPr="00586F0D">
        <w:rPr>
          <w:rFonts w:ascii="Arial Unicode MS" w:hAnsi="Arial Unicode MS" w:eastAsia="Arial Unicode MS" w:cs="Arial Unicode MS"/>
          <w:noProof/>
          <w:sz w:val="30"/>
          <w:szCs w:val="30"/>
          <w:lang w:val="nb-NO" w:eastAsia="nb-NO"/>
        </w:rPr>
        <mc:AlternateContent>
          <mc:Choice Requires="wps">
            <w:drawing>
              <wp:anchor distT="0" distB="0" distL="114300" distR="114300" simplePos="0" relativeHeight="251663360" behindDoc="0" locked="0" layoutInCell="1" allowOverlap="1" wp14:anchorId="3AED5213" wp14:editId="45D54753">
                <wp:simplePos x="0" y="0"/>
                <wp:positionH relativeFrom="page">
                  <wp:posOffset>695325</wp:posOffset>
                </wp:positionH>
                <wp:positionV relativeFrom="paragraph">
                  <wp:posOffset>328295</wp:posOffset>
                </wp:positionV>
                <wp:extent cx="6381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EB42AAE">
              <v:line id="Straight Connector 3"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5pt" to="557.25pt,25.85pt" w14:anchorId="50BFB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y/HAIAADcEAAAOAAAAZHJzL2Uyb0RvYy54bWysU8GO2yAQvVfqPyDuWduJmyZWnFVlJ71s&#10;20jZfgABbKNiQEDiRFX/vQOJo93tpap6sQdmeLx581g9nnuJTtw6oVWJs4cUI66oZkK1Jf7+vJ0s&#10;MHKeKEakVrzEF+7w4/r9u9VgCj7VnZaMWwQgyhWDKXHnvSmSxNGO98Q9aMMVJBtte+JhaduEWTIA&#10;ei+TaZrOk0FbZqym3DnYra9JvI74TcOp/9Y0jnskSwzcfPza+D2Eb7JekaK1xHSC3miQf2DRE6Hg&#10;0jtUTTxBRyv+gOoFtdrpxj9Q3Se6aQTlsQfoJkvfdLPviOGxFxDHmbtM7v/B0q+nnUWClXiGkSI9&#10;jGjvLRFt51GllQIBtUWzoNNgXAHlldrZ0Ck9q7150vSHQ0pXHVEtj3yfLwZAsnAieXUkLJyB2w7D&#10;F82ghhy9jqKdG9sHSJADneNsLvfZ8LNHFDbns0X28QOMkI65hBTjQWOd/8x1j0JQYilUkI0U5PTk&#10;fCBCirEkbCu9FVLG0UuFBmC7TAE6pJyWgoVsXNj2UEmLTiS4J803y0Vs602Z1UfFIlrHCdvcYk+E&#10;vMZwu1QBD3oBPrfoao+fy3S5WWwW+SSfzjeTPK3ryadtlU/mW2i3ntVVVWe/ArUsLzrBGFeB3WjV&#10;LP87K9wezdVkd7PedUheo0fBgOz4j6TjMMP8rk44aHbZ2XHI4M5YfHtJwf4v1xC/fO/r3wAAAP//&#10;AwBQSwMEFAAGAAgAAAAhALWfQY7cAAAACgEAAA8AAABkcnMvZG93bnJldi54bWxMj8FOwzAQRO9I&#10;/IO1SNyoHUQKDXEqhFSJE4KAOG9iN4mI12nsJuHv2YoDPc7s0+xMvl1cLyY7hs6ThmSlQFiqvemo&#10;0fD5sbt5ABEiksHek9XwYwNsi8uLHDPjZ3q3UxkbwSEUMtTQxjhkUoa6tQ7Dyg+W+Lb3o8PIcmyk&#10;GXHmcNfLW6XW0mFH/KHFwT63tv4uj06DO3RY7eb09WtTykNQ6ym+vO21vr5anh5BRLvEfxhO9bk6&#10;FNyp8kcyQfSs1SZlVEOa3IM4AUlyx07158gil+cTil8AAAD//wMAUEsBAi0AFAAGAAgAAAAhALaD&#10;OJL+AAAA4QEAABMAAAAAAAAAAAAAAAAAAAAAAFtDb250ZW50X1R5cGVzXS54bWxQSwECLQAUAAYA&#10;CAAAACEAOP0h/9YAAACUAQAACwAAAAAAAAAAAAAAAAAvAQAAX3JlbHMvLnJlbHNQSwECLQAUAAYA&#10;CAAAACEAgTjcvxwCAAA3BAAADgAAAAAAAAAAAAAAAAAuAgAAZHJzL2Uyb0RvYy54bWxQSwECLQAU&#10;AAYACAAAACEAtZ9BjtwAAAAKAQAADwAAAAAAAAAAAAAAAAB2BAAAZHJzL2Rvd25yZXYueG1sUEsF&#10;BgAAAAAEAAQA8wAAAH8FAAAAAA==&#10;">
                <w10:wrap anchorx="page"/>
              </v:line>
            </w:pict>
          </mc:Fallback>
        </mc:AlternateContent>
      </w:r>
      <w:r w:rsidRPr="00586F0D">
        <w:rPr>
          <w:rFonts w:ascii="Arial Unicode MS" w:hAnsi="Arial Unicode MS" w:eastAsia="Arial Unicode MS" w:cs="Arial Unicode MS"/>
          <w:color w:val="004E98"/>
          <w:sz w:val="30"/>
          <w:szCs w:val="30"/>
          <w:lang w:val="en-US"/>
        </w:rPr>
        <w:t>References and sources</w:t>
      </w:r>
    </w:p>
    <w:p w:rsidRPr="00586F0D" w:rsidR="00586F0D" w:rsidP="00B0377E" w:rsidRDefault="00586F0D" w14:paraId="63F0891C" w14:textId="77777777">
      <w:pPr>
        <w:tabs>
          <w:tab w:val="left" w:pos="469"/>
        </w:tabs>
        <w:jc w:val="both"/>
        <w:rPr>
          <w:b/>
          <w:color w:val="333399"/>
          <w:sz w:val="21"/>
        </w:rPr>
      </w:pPr>
    </w:p>
    <w:p w:rsidRPr="00586F0D" w:rsidR="00586F0D" w:rsidP="00B0377E" w:rsidRDefault="00586F0D" w14:paraId="4CFB1971" w14:textId="5E5F95DD">
      <w:pPr>
        <w:pStyle w:val="NoSpacing"/>
        <w:numPr>
          <w:ilvl w:val="0"/>
          <w:numId w:val="2"/>
        </w:numPr>
        <w:jc w:val="both"/>
      </w:pPr>
      <w:r w:rsidRPr="00586F0D">
        <w:rPr>
          <w:rFonts w:ascii="Arial" w:hAnsi="Arial" w:eastAsia="Arial" w:cs="Arial"/>
          <w:b/>
          <w:color w:val="333399"/>
          <w:sz w:val="21"/>
          <w:lang w:val="en-US"/>
        </w:rPr>
        <w:t>Please provide links to references and sources and/or upload the related material in PDF</w:t>
      </w:r>
      <w:r w:rsidRPr="00586F0D">
        <w:rPr>
          <w:rFonts w:ascii="Arial" w:hAnsi="Arial" w:eastAsia="Arial" w:cs="Arial"/>
          <w:b/>
          <w:color w:val="333399"/>
          <w:spacing w:val="-1"/>
          <w:sz w:val="21"/>
          <w:lang w:val="en-US"/>
        </w:rPr>
        <w:t xml:space="preserve"> </w:t>
      </w:r>
      <w:r w:rsidRPr="00586F0D">
        <w:rPr>
          <w:rFonts w:ascii="Arial" w:hAnsi="Arial" w:eastAsia="Arial" w:cs="Arial"/>
          <w:b/>
          <w:color w:val="333399"/>
          <w:sz w:val="21"/>
          <w:lang w:val="en-US"/>
        </w:rPr>
        <w:t>forma</w:t>
      </w:r>
      <w:r>
        <w:rPr>
          <w:rFonts w:ascii="Arial" w:hAnsi="Arial" w:eastAsia="Arial" w:cs="Arial"/>
          <w:b/>
          <w:color w:val="333399"/>
          <w:sz w:val="21"/>
          <w:lang w:val="en-US"/>
        </w:rPr>
        <w:t>t</w:t>
      </w:r>
    </w:p>
    <w:p w:rsidR="00586F0D" w:rsidP="00B0377E" w:rsidRDefault="00586F0D" w14:paraId="1405269D" w14:textId="24A71B05">
      <w:pPr>
        <w:jc w:val="both"/>
        <w:rPr>
          <w:lang w:val="en-US"/>
        </w:rPr>
      </w:pPr>
    </w:p>
    <w:p w:rsidR="00586F0D" w:rsidP="00B0377E" w:rsidRDefault="00586F0D" w14:paraId="39C45B52" w14:textId="639EE9A4">
      <w:pPr>
        <w:jc w:val="both"/>
      </w:pPr>
    </w:p>
    <w:p w:rsidR="001168E5" w:rsidP="00B0377E" w:rsidRDefault="001168E5" w14:paraId="627624EC" w14:textId="69736499">
      <w:pPr>
        <w:jc w:val="both"/>
      </w:pPr>
    </w:p>
    <w:p w:rsidR="001168E5" w:rsidP="00B0377E" w:rsidRDefault="001168E5" w14:paraId="0AE72CE2" w14:textId="61B191C6">
      <w:pPr>
        <w:jc w:val="both"/>
      </w:pPr>
    </w:p>
    <w:p w:rsidRPr="00586F0D" w:rsidR="001168E5" w:rsidP="00B0377E" w:rsidRDefault="001168E5" w14:paraId="74323131" w14:textId="77777777">
      <w:pPr>
        <w:jc w:val="both"/>
      </w:pPr>
    </w:p>
    <w:p w:rsidR="00586F0D" w:rsidP="00B0377E" w:rsidRDefault="00586F0D" w14:paraId="401E1D87" w14:textId="6F3A4F62">
      <w:pPr>
        <w:pStyle w:val="ListParagraph"/>
        <w:numPr>
          <w:ilvl w:val="0"/>
          <w:numId w:val="2"/>
        </w:numPr>
        <w:tabs>
          <w:tab w:val="left" w:pos="586"/>
        </w:tabs>
        <w:spacing w:line="297" w:lineRule="auto"/>
        <w:ind w:right="684"/>
        <w:jc w:val="both"/>
        <w:rPr>
          <w:b/>
          <w:sz w:val="21"/>
        </w:rPr>
      </w:pPr>
      <w:r>
        <w:rPr>
          <w:b/>
          <w:color w:val="333399"/>
          <w:sz w:val="21"/>
        </w:rPr>
        <w:t xml:space="preserve">Feedback or suggestions about the process or format for submissions to the EASO </w:t>
      </w:r>
      <w:r>
        <w:rPr>
          <w:b/>
          <w:color w:val="333399"/>
          <w:spacing w:val="-3"/>
          <w:sz w:val="21"/>
        </w:rPr>
        <w:t>A</w:t>
      </w:r>
      <w:r w:rsidR="00172C8E">
        <w:rPr>
          <w:b/>
          <w:color w:val="333399"/>
          <w:spacing w:val="-3"/>
          <w:sz w:val="21"/>
        </w:rPr>
        <w:t>sylum</w:t>
      </w:r>
      <w:r>
        <w:rPr>
          <w:b/>
          <w:color w:val="333399"/>
          <w:spacing w:val="-3"/>
          <w:sz w:val="21"/>
        </w:rPr>
        <w:t xml:space="preserve"> </w:t>
      </w:r>
      <w:r>
        <w:rPr>
          <w:b/>
          <w:color w:val="333399"/>
          <w:sz w:val="21"/>
        </w:rPr>
        <w:t>Report</w:t>
      </w:r>
    </w:p>
    <w:p w:rsidR="00586F0D" w:rsidP="001168E5" w:rsidRDefault="00586F0D" w14:paraId="2768EC5D" w14:textId="449623F4"/>
    <w:p w:rsidR="001168E5" w:rsidP="001168E5" w:rsidRDefault="001168E5" w14:paraId="4EEE2AEC" w14:textId="21F16D10"/>
    <w:p w:rsidR="001168E5" w:rsidP="001168E5" w:rsidRDefault="001168E5" w14:paraId="45F1C3AC" w14:textId="77777777"/>
    <w:p w:rsidR="00586F0D" w:rsidP="001168E5" w:rsidRDefault="00586F0D" w14:paraId="5D81189D" w14:textId="032833E7"/>
    <w:p w:rsidR="00212898" w:rsidP="001168E5" w:rsidRDefault="00212898" w14:paraId="385BDA0B" w14:textId="77777777"/>
    <w:p w:rsidR="001168E5" w:rsidP="001168E5" w:rsidRDefault="001168E5" w14:paraId="1840219D" w14:textId="77777777"/>
    <w:p w:rsidR="00586F0D" w:rsidP="00586F0D" w:rsidRDefault="00586F0D" w14:paraId="0FE42529" w14:textId="48D8E13C">
      <w:pPr>
        <w:pStyle w:val="Heading1"/>
      </w:pPr>
      <w:r>
        <w:rPr>
          <w:noProof/>
          <w:lang w:val="nb-NO" w:eastAsia="nb-NO"/>
        </w:rPr>
        <w:lastRenderedPageBreak/>
        <mc:AlternateContent>
          <mc:Choice Requires="wps">
            <w:drawing>
              <wp:anchor distT="0" distB="0" distL="114300" distR="114300" simplePos="0" relativeHeight="251665408" behindDoc="0" locked="0" layoutInCell="1" allowOverlap="1" wp14:anchorId="0821B331" wp14:editId="7795CCA6">
                <wp:simplePos x="0" y="0"/>
                <wp:positionH relativeFrom="page">
                  <wp:posOffset>695325</wp:posOffset>
                </wp:positionH>
                <wp:positionV relativeFrom="paragraph">
                  <wp:posOffset>327660</wp:posOffset>
                </wp:positionV>
                <wp:extent cx="63817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EF4B201">
              <v:line id="Straight Connector 4"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pt" to="557.25pt,25.8pt" w14:anchorId="7005B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hyGwIAADcEAAAOAAAAZHJzL2Uyb0RvYy54bWysU8GO2yAQvVfqPyDuie2smyZWnFVlJ71s&#10;20jZfgABbKNiQEDiRFX/vQOJo93tpap6sQdmeLx581g9nnuJTtw6oVWJs2mKEVdUM6HaEn9/3k4W&#10;GDlPFCNSK17iC3f4cf3+3WowBZ/pTkvGLQIQ5YrBlLjz3hRJ4mjHe+Km2nAFyUbbnnhY2jZhlgyA&#10;3stklqbzZNCWGaspdw5262sSryN+03DqvzWN4x7JEgM3H782fg/hm6xXpGgtMZ2gNxrkH1j0RCi4&#10;9A5VE0/Q0Yo/oHpBrXa68VOq+0Q3jaA89gDdZOmbbvYdMTz2AuI4c5fJ/T9Y+vW0s0iwEucYKdLD&#10;iPbeEtF2HlVaKRBQW5QHnQbjCiiv1M6GTulZ7c2Tpj8cUrrqiGp55Pt8MQCShRPJqyNh4Qzcdhi+&#10;aAY15Oh1FO3c2D5AghzoHGdzuc+Gnz2isDl/WGQfP8AI6ZhLSDEeNNb5z1z3KAQllkIF2UhBTk/O&#10;ByKkGEvCttJbIWUcvVRoALbLFKBDymkpWMjGhW0PlbToRIJ70nyzXMS23pRZfVQsonWcsM0t9kTI&#10;awy3SxXwoBfgc4uu9vi5TJebxWaRT/LZfDPJ07qefNpW+WS+hXbrh7qq6uxXoJblRScY4yqwG62a&#10;5X9nhdujuZrsbta7Dslr9CgYkB3/kXQcZpjf1QkHzS47Ow4Z3BmLby8p2P/lGuKX7339GwAA//8D&#10;AFBLAwQUAAYACAAAACEA8ghT2dsAAAAKAQAADwAAAGRycy9kb3ducmV2LnhtbEyPQUvEMBCF74L/&#10;IYzgzU0qtri16SLCgifRKp6nzWxbbCbdJtvWf28WD3p8bz7evFfsVjuImSbfO9aQbBQI4saZnlsN&#10;H+/7m3sQPiAbHByThm/ysCsvLwrMjVv4jeYqtCKGsM9RQxfCmEvpm44s+o0biePt4CaLIcqplWbC&#10;JYbbQd4qlUmLPccPHY701FHzVZ2sBnvssd4v6cvntpJHr7I5PL8etL6+Wh8fQARawx8M5/qxOpSx&#10;U+1ObLwYolbbNKIa0iQDcQaS5C469a8jy0L+n1D+AAAA//8DAFBLAQItABQABgAIAAAAIQC2gziS&#10;/gAAAOEBAAATAAAAAAAAAAAAAAAAAAAAAABbQ29udGVudF9UeXBlc10ueG1sUEsBAi0AFAAGAAgA&#10;AAAhADj9If/WAAAAlAEAAAsAAAAAAAAAAAAAAAAALwEAAF9yZWxzLy5yZWxzUEsBAi0AFAAGAAgA&#10;AAAhAE2/OHIbAgAANwQAAA4AAAAAAAAAAAAAAAAALgIAAGRycy9lMm9Eb2MueG1sUEsBAi0AFAAG&#10;AAgAAAAhAPIIU9nbAAAACgEAAA8AAAAAAAAAAAAAAAAAdQQAAGRycy9kb3ducmV2LnhtbFBLBQYA&#10;AAAABAAEAPMAAAB9BQAAAAA=&#10;">
                <w10:wrap anchorx="page"/>
              </v:line>
            </w:pict>
          </mc:Fallback>
        </mc:AlternateContent>
      </w:r>
      <w:r>
        <w:rPr>
          <w:color w:val="004E98"/>
        </w:rPr>
        <w:t>Contact details</w:t>
      </w:r>
    </w:p>
    <w:p w:rsidR="00586F0D" w:rsidP="00586F0D" w:rsidRDefault="00586F0D" w14:paraId="62B1203E" w14:textId="77777777">
      <w:pPr>
        <w:pStyle w:val="NoSpacing"/>
      </w:pPr>
    </w:p>
    <w:p w:rsidR="00586F0D" w:rsidP="00586F0D" w:rsidRDefault="00586F0D" w14:paraId="44939123" w14:textId="77777777">
      <w:pPr>
        <w:pStyle w:val="NoSpacing"/>
      </w:pPr>
    </w:p>
    <w:p w:rsidRPr="00B47840" w:rsidR="00586F0D" w:rsidP="00586F0D" w:rsidRDefault="00586F0D" w14:paraId="51F11CB6" w14:textId="7FDD17D5">
      <w:pPr>
        <w:pStyle w:val="NoSpacing"/>
        <w:rPr>
          <w:rFonts w:ascii="Arial" w:hAnsi="Arial" w:eastAsia="Arial" w:cs="Arial"/>
          <w:b/>
          <w:color w:val="333399"/>
          <w:sz w:val="21"/>
          <w:lang w:val="en-US"/>
        </w:rPr>
      </w:pPr>
      <w:r w:rsidRPr="00B47840">
        <w:rPr>
          <w:rFonts w:ascii="Arial" w:hAnsi="Arial" w:eastAsia="Arial" w:cs="Arial"/>
          <w:b/>
          <w:color w:val="333399"/>
          <w:sz w:val="21"/>
          <w:lang w:val="en-US"/>
        </w:rPr>
        <w:t xml:space="preserve">Name of </w:t>
      </w:r>
      <w:proofErr w:type="spellStart"/>
      <w:r w:rsidRPr="00B47840">
        <w:rPr>
          <w:rFonts w:ascii="Arial" w:hAnsi="Arial" w:eastAsia="Arial" w:cs="Arial"/>
          <w:b/>
          <w:color w:val="333399"/>
          <w:sz w:val="21"/>
          <w:lang w:val="en-US"/>
        </w:rPr>
        <w:t>Organisation</w:t>
      </w:r>
      <w:proofErr w:type="spellEnd"/>
      <w:r w:rsidRPr="00B47840">
        <w:rPr>
          <w:rFonts w:ascii="Arial" w:hAnsi="Arial" w:eastAsia="Arial" w:cs="Arial"/>
          <w:b/>
          <w:color w:val="333399"/>
          <w:sz w:val="21"/>
          <w:lang w:val="en-US"/>
        </w:rPr>
        <w:t>:</w:t>
      </w:r>
      <w:r w:rsidR="00AD72B2">
        <w:rPr>
          <w:rFonts w:ascii="Arial" w:hAnsi="Arial" w:eastAsia="Arial" w:cs="Arial"/>
          <w:b/>
          <w:color w:val="333399"/>
          <w:sz w:val="21"/>
          <w:lang w:val="en-US"/>
        </w:rPr>
        <w:t xml:space="preserve"> </w:t>
      </w:r>
      <w:r w:rsidRPr="00AD72B2" w:rsidR="00AD72B2">
        <w:rPr>
          <w:rFonts w:ascii="Arial" w:hAnsi="Arial" w:eastAsia="Arial" w:cs="Arial"/>
          <w:sz w:val="21"/>
          <w:lang w:val="en-US"/>
        </w:rPr>
        <w:t xml:space="preserve">Norwegian </w:t>
      </w:r>
      <w:proofErr w:type="spellStart"/>
      <w:r w:rsidRPr="00AD72B2" w:rsidR="00AD72B2">
        <w:rPr>
          <w:rFonts w:ascii="Arial" w:hAnsi="Arial" w:eastAsia="Arial" w:cs="Arial"/>
          <w:sz w:val="21"/>
          <w:lang w:val="en-US"/>
        </w:rPr>
        <w:t>Organisation</w:t>
      </w:r>
      <w:proofErr w:type="spellEnd"/>
      <w:r w:rsidRPr="00AD72B2" w:rsidR="00AD72B2">
        <w:rPr>
          <w:rFonts w:ascii="Arial" w:hAnsi="Arial" w:eastAsia="Arial" w:cs="Arial"/>
          <w:sz w:val="21"/>
          <w:lang w:val="en-US"/>
        </w:rPr>
        <w:t xml:space="preserve"> for Asylum Seekers</w:t>
      </w:r>
      <w:r w:rsidR="007A0DBA">
        <w:rPr>
          <w:rFonts w:ascii="Arial" w:hAnsi="Arial" w:eastAsia="Arial" w:cs="Arial"/>
          <w:sz w:val="21"/>
          <w:lang w:val="en-US"/>
        </w:rPr>
        <w:t xml:space="preserve"> (NOAS)</w:t>
      </w:r>
    </w:p>
    <w:p w:rsidRPr="00B47840" w:rsidR="00586F0D" w:rsidP="00586F0D" w:rsidRDefault="00586F0D" w14:paraId="00FC5D22" w14:textId="6C8D9713">
      <w:pPr>
        <w:pStyle w:val="NoSpacing"/>
        <w:rPr>
          <w:rFonts w:ascii="Arial" w:hAnsi="Arial" w:eastAsia="Arial" w:cs="Arial"/>
          <w:b/>
          <w:color w:val="333399"/>
          <w:sz w:val="21"/>
          <w:lang w:val="en-US"/>
        </w:rPr>
      </w:pPr>
    </w:p>
    <w:p w:rsidRPr="00B47840" w:rsidR="00586F0D" w:rsidP="00586F0D" w:rsidRDefault="00586F0D" w14:paraId="0EE996D0" w14:textId="324B5F96">
      <w:pPr>
        <w:pStyle w:val="NoSpacing"/>
        <w:rPr>
          <w:rFonts w:ascii="Arial" w:hAnsi="Arial" w:eastAsia="Arial" w:cs="Arial"/>
          <w:b/>
          <w:color w:val="333399"/>
          <w:sz w:val="21"/>
          <w:lang w:val="en-US"/>
        </w:rPr>
      </w:pPr>
    </w:p>
    <w:p w:rsidRPr="00AD72B2" w:rsidR="00586F0D" w:rsidP="00586F0D" w:rsidRDefault="00586F0D" w14:paraId="33AB28E0" w14:textId="5D045891">
      <w:pPr>
        <w:pStyle w:val="NoSpacing"/>
        <w:rPr>
          <w:rFonts w:ascii="Arial" w:hAnsi="Arial" w:eastAsia="Arial" w:cs="Arial"/>
          <w:sz w:val="21"/>
          <w:lang w:val="en-US"/>
        </w:rPr>
      </w:pPr>
      <w:r w:rsidRPr="00B47840">
        <w:rPr>
          <w:rFonts w:ascii="Arial" w:hAnsi="Arial" w:eastAsia="Arial" w:cs="Arial"/>
          <w:b/>
          <w:color w:val="333399"/>
          <w:sz w:val="21"/>
          <w:lang w:val="en-US"/>
        </w:rPr>
        <w:t>Name and title of contact person</w:t>
      </w:r>
      <w:r w:rsidR="00B47840">
        <w:rPr>
          <w:rFonts w:ascii="Arial" w:hAnsi="Arial" w:eastAsia="Arial" w:cs="Arial"/>
          <w:b/>
          <w:color w:val="333399"/>
          <w:sz w:val="21"/>
          <w:lang w:val="en-US"/>
        </w:rPr>
        <w:t xml:space="preserve">: </w:t>
      </w:r>
      <w:r w:rsidRPr="00AD72B2" w:rsidR="00AD72B2">
        <w:rPr>
          <w:rFonts w:ascii="Arial" w:hAnsi="Arial" w:eastAsia="Arial" w:cs="Arial"/>
          <w:sz w:val="21"/>
          <w:lang w:val="en-US"/>
        </w:rPr>
        <w:t>Mona</w:t>
      </w:r>
      <w:r w:rsidR="004C393F">
        <w:rPr>
          <w:rFonts w:ascii="Arial" w:hAnsi="Arial" w:eastAsia="Arial" w:cs="Arial"/>
          <w:sz w:val="21"/>
          <w:lang w:val="en-US"/>
        </w:rPr>
        <w:t xml:space="preserve"> Reigstad</w:t>
      </w:r>
      <w:r w:rsidRPr="00AD72B2" w:rsidR="00AD72B2">
        <w:rPr>
          <w:rFonts w:ascii="Arial" w:hAnsi="Arial" w:eastAsia="Arial" w:cs="Arial"/>
          <w:sz w:val="21"/>
          <w:lang w:val="en-US"/>
        </w:rPr>
        <w:t xml:space="preserve"> Dabour, Senior Political Advisor</w:t>
      </w:r>
    </w:p>
    <w:p w:rsidR="00B47840" w:rsidP="00586F0D" w:rsidRDefault="00B47840" w14:paraId="33B637B3" w14:textId="77777777">
      <w:pPr>
        <w:pStyle w:val="NoSpacing"/>
        <w:rPr>
          <w:rFonts w:ascii="Arial" w:hAnsi="Arial" w:eastAsia="Arial" w:cs="Arial"/>
          <w:b/>
          <w:color w:val="333399"/>
          <w:sz w:val="21"/>
          <w:lang w:val="en-US"/>
        </w:rPr>
      </w:pPr>
    </w:p>
    <w:p w:rsidR="00B47840" w:rsidP="00586F0D" w:rsidRDefault="00B47840" w14:paraId="04926F6C" w14:textId="77777777">
      <w:pPr>
        <w:pStyle w:val="NoSpacing"/>
        <w:rPr>
          <w:rFonts w:ascii="Arial" w:hAnsi="Arial" w:eastAsia="Arial" w:cs="Arial"/>
          <w:b/>
          <w:color w:val="333399"/>
          <w:sz w:val="21"/>
          <w:lang w:val="en-US"/>
        </w:rPr>
      </w:pPr>
    </w:p>
    <w:p w:rsidRPr="00AD72B2" w:rsidR="00586F0D" w:rsidP="00586F0D" w:rsidRDefault="00586F0D" w14:paraId="24653AAA" w14:textId="4CB64F4C">
      <w:pPr>
        <w:pStyle w:val="NoSpacing"/>
        <w:rPr>
          <w:rFonts w:ascii="Arial" w:hAnsi="Arial" w:eastAsia="Arial" w:cs="Arial"/>
          <w:sz w:val="21"/>
          <w:lang w:val="en-US"/>
        </w:rPr>
      </w:pPr>
      <w:r w:rsidRPr="00B47840">
        <w:rPr>
          <w:rFonts w:ascii="Arial" w:hAnsi="Arial" w:eastAsia="Arial" w:cs="Arial"/>
          <w:b/>
          <w:color w:val="333399"/>
          <w:sz w:val="21"/>
          <w:lang w:val="en-US"/>
        </w:rPr>
        <w:t>Email</w:t>
      </w:r>
      <w:r w:rsidR="00B47840">
        <w:rPr>
          <w:rFonts w:ascii="Arial" w:hAnsi="Arial" w:eastAsia="Arial" w:cs="Arial"/>
          <w:b/>
          <w:color w:val="333399"/>
          <w:sz w:val="21"/>
          <w:lang w:val="en-US"/>
        </w:rPr>
        <w:t xml:space="preserve">: </w:t>
      </w:r>
      <w:r w:rsidRPr="00AD72B2" w:rsidR="00AD72B2">
        <w:rPr>
          <w:rFonts w:ascii="Arial" w:hAnsi="Arial" w:eastAsia="Arial" w:cs="Arial"/>
          <w:sz w:val="21"/>
          <w:lang w:val="en-US"/>
        </w:rPr>
        <w:t>mrd@noas.org</w:t>
      </w:r>
    </w:p>
    <w:p w:rsidRPr="00B47840" w:rsidR="00B47840" w:rsidP="00586F0D" w:rsidRDefault="00B47840" w14:paraId="2975ACFA" w14:textId="77777777">
      <w:pPr>
        <w:pStyle w:val="NoSpacing"/>
        <w:rPr>
          <w:rFonts w:ascii="Arial" w:hAnsi="Arial" w:eastAsia="Arial" w:cs="Arial"/>
          <w:b/>
          <w:color w:val="333399"/>
          <w:sz w:val="21"/>
          <w:lang w:val="en-US"/>
        </w:rPr>
      </w:pPr>
    </w:p>
    <w:p w:rsidRPr="00B47840" w:rsidR="00586F0D" w:rsidP="00586F0D" w:rsidRDefault="00586F0D" w14:paraId="3EE44E48" w14:textId="579BFBCB">
      <w:pPr>
        <w:pStyle w:val="NoSpacing"/>
        <w:rPr>
          <w:rFonts w:ascii="Arial" w:hAnsi="Arial" w:eastAsia="Arial" w:cs="Arial"/>
          <w:b/>
          <w:color w:val="333399"/>
          <w:sz w:val="21"/>
          <w:lang w:val="en-US"/>
        </w:rPr>
      </w:pPr>
    </w:p>
    <w:p w:rsidRPr="00B47840" w:rsidR="00586F0D" w:rsidP="00586F0D" w:rsidRDefault="00B47840" w14:paraId="16177A35" w14:textId="357190D1">
      <w:pPr>
        <w:pStyle w:val="NoSpacing"/>
        <w:rPr>
          <w:rFonts w:ascii="Arial" w:hAnsi="Arial" w:eastAsia="Arial" w:cs="Arial"/>
          <w:b/>
          <w:color w:val="333399"/>
          <w:sz w:val="21"/>
          <w:lang w:val="en-US"/>
        </w:rPr>
      </w:pPr>
      <w:r w:rsidRPr="00B47840">
        <w:rPr>
          <w:rFonts w:ascii="Arial" w:hAnsi="Arial" w:eastAsia="Arial" w:cs="Arial"/>
          <w:b/>
          <w:color w:val="333399"/>
          <w:sz w:val="21"/>
          <w:lang w:val="en-US"/>
        </w:rPr>
        <w:t xml:space="preserve"> </w:t>
      </w:r>
    </w:p>
    <w:p w:rsidR="00B47840" w:rsidP="00586F0D" w:rsidRDefault="00874ADA" w14:paraId="60CD637D" w14:textId="24A58011">
      <w:pPr>
        <w:pStyle w:val="NoSpacing"/>
      </w:pPr>
      <w:sdt>
        <w:sdtPr>
          <w:rPr>
            <w:rFonts w:ascii="Arial" w:hAnsi="Arial" w:eastAsia="Arial" w:cs="Arial"/>
            <w:b/>
            <w:color w:val="333399"/>
            <w:sz w:val="21"/>
            <w:lang w:val="en-US"/>
          </w:rPr>
          <w:id w:val="-1013301054"/>
          <w14:checkbox>
            <w14:checked w14:val="1"/>
            <w14:checkedState w14:val="2612" w14:font="MS Gothic"/>
            <w14:uncheckedState w14:val="2610" w14:font="MS Gothic"/>
          </w14:checkbox>
        </w:sdtPr>
        <w:sdtEndPr/>
        <w:sdtContent>
          <w:r w:rsidR="004061D4">
            <w:rPr>
              <w:rFonts w:hint="eastAsia" w:ascii="MS Gothic" w:hAnsi="MS Gothic" w:eastAsia="MS Gothic" w:cs="Arial"/>
              <w:b/>
              <w:color w:val="333399"/>
              <w:sz w:val="21"/>
              <w:lang w:val="en-US"/>
            </w:rPr>
            <w:t>☒</w:t>
          </w:r>
        </w:sdtContent>
      </w:sdt>
      <w:r w:rsidRPr="00B47840" w:rsidR="00B47840">
        <w:rPr>
          <w:rFonts w:ascii="Arial" w:hAnsi="Arial" w:eastAsia="Arial" w:cs="Arial"/>
          <w:b/>
          <w:color w:val="333399"/>
          <w:sz w:val="21"/>
          <w:lang w:val="en-US"/>
        </w:rPr>
        <w:t xml:space="preserve"> I accept the provisions of the EASO</w:t>
      </w:r>
      <w:r w:rsidR="00B47840">
        <w:rPr>
          <w:rFonts w:ascii="Arial Unicode MS"/>
          <w:color w:val="333333"/>
          <w:sz w:val="21"/>
        </w:rPr>
        <w:t xml:space="preserve"> </w:t>
      </w:r>
      <w:hyperlink r:id="rId34">
        <w:r w:rsidRPr="00B47840" w:rsidR="00B47840">
          <w:rPr>
            <w:rFonts w:ascii="Arial" w:hAnsi="Arial" w:cs="Arial"/>
            <w:b/>
            <w:bCs/>
            <w:color w:val="0068D6"/>
            <w:sz w:val="21"/>
            <w:szCs w:val="21"/>
            <w:u w:val="single" w:color="0068D6"/>
          </w:rPr>
          <w:t>Legal and Privacy</w:t>
        </w:r>
        <w:r w:rsidRPr="00B47840" w:rsidR="00B47840">
          <w:rPr>
            <w:rFonts w:ascii="Arial" w:hAnsi="Arial" w:cs="Arial"/>
            <w:b/>
            <w:bCs/>
            <w:color w:val="0068D6"/>
            <w:spacing w:val="2"/>
            <w:sz w:val="21"/>
            <w:szCs w:val="21"/>
            <w:u w:val="single" w:color="0068D6"/>
          </w:rPr>
          <w:t xml:space="preserve"> </w:t>
        </w:r>
        <w:r w:rsidRPr="00B47840" w:rsidR="00B47840">
          <w:rPr>
            <w:rFonts w:ascii="Arial" w:hAnsi="Arial" w:cs="Arial"/>
            <w:b/>
            <w:bCs/>
            <w:color w:val="0068D6"/>
            <w:sz w:val="21"/>
            <w:szCs w:val="21"/>
            <w:u w:val="single" w:color="0068D6"/>
          </w:rPr>
          <w:t>Statements</w:t>
        </w:r>
      </w:hyperlink>
    </w:p>
    <w:p w:rsidR="00586F0D" w:rsidP="00586F0D" w:rsidRDefault="00586F0D" w14:paraId="2B03348A" w14:textId="3503490E">
      <w:pPr>
        <w:pStyle w:val="NoSpacing"/>
      </w:pPr>
    </w:p>
    <w:p w:rsidR="00586F0D" w:rsidP="00586F0D" w:rsidRDefault="00586F0D" w14:paraId="5A167D65" w14:textId="77777777">
      <w:pPr>
        <w:pStyle w:val="NoSpacing"/>
      </w:pPr>
    </w:p>
    <w:p w:rsidR="00586F0D" w:rsidP="00586F0D" w:rsidRDefault="00586F0D" w14:paraId="2C836971" w14:textId="4870F023">
      <w:pPr>
        <w:pStyle w:val="NoSpacing"/>
      </w:pPr>
    </w:p>
    <w:p w:rsidRPr="00586F0D" w:rsidR="00586F0D" w:rsidP="00586F0D" w:rsidRDefault="00586F0D" w14:paraId="3522C2F9" w14:textId="77777777">
      <w:pPr>
        <w:pStyle w:val="NoSpacing"/>
      </w:pPr>
    </w:p>
    <w:sectPr w:rsidRPr="00586F0D" w:rsidR="00586F0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4ADA" w:rsidP="004C088F" w:rsidRDefault="00874ADA" w14:paraId="0550F47F" w14:textId="77777777">
      <w:pPr>
        <w:spacing w:after="0" w:line="240" w:lineRule="auto"/>
      </w:pPr>
      <w:r>
        <w:separator/>
      </w:r>
    </w:p>
  </w:endnote>
  <w:endnote w:type="continuationSeparator" w:id="0">
    <w:p w:rsidR="00874ADA" w:rsidP="004C088F" w:rsidRDefault="00874ADA" w14:paraId="2AEF7B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4ADA" w:rsidP="004C088F" w:rsidRDefault="00874ADA" w14:paraId="5F8E4856" w14:textId="77777777">
      <w:pPr>
        <w:spacing w:after="0" w:line="240" w:lineRule="auto"/>
      </w:pPr>
      <w:r>
        <w:separator/>
      </w:r>
    </w:p>
  </w:footnote>
  <w:footnote w:type="continuationSeparator" w:id="0">
    <w:p w:rsidR="00874ADA" w:rsidP="004C088F" w:rsidRDefault="00874ADA" w14:paraId="0EDD6DBC" w14:textId="77777777">
      <w:pPr>
        <w:spacing w:after="0" w:line="240" w:lineRule="auto"/>
      </w:pPr>
      <w:r>
        <w:continuationSeparator/>
      </w:r>
    </w:p>
  </w:footnote>
  <w:footnote w:id="1">
    <w:p w:rsidR="007C3479" w:rsidP="007C3479" w:rsidRDefault="007C3479" w14:paraId="7F2A613F" w14:textId="77777777">
      <w:pPr>
        <w:pStyle w:val="FootnoteText"/>
        <w:tabs>
          <w:tab w:val="clear" w:pos="1021"/>
          <w:tab w:val="right" w:pos="0"/>
        </w:tabs>
        <w:ind w:left="0" w:firstLine="0"/>
      </w:pPr>
      <w:r>
        <w:rPr>
          <w:rStyle w:val="FootnoteReference"/>
        </w:rPr>
        <w:footnoteRef/>
      </w:r>
      <w:r>
        <w:t xml:space="preserve"> </w:t>
      </w:r>
      <w:r w:rsidRPr="00DB2A5C">
        <w:t xml:space="preserve">Norwegian Organisation for Asylum Seekers (NOAS), </w:t>
      </w:r>
      <w:r w:rsidRPr="00DB2A5C">
        <w:rPr>
          <w:i/>
          <w:iCs/>
        </w:rPr>
        <w:t xml:space="preserve">Norway’s Asylum Freeze: A report on Norway’s response to increased asylum arrivals at the </w:t>
      </w:r>
      <w:proofErr w:type="spellStart"/>
      <w:r w:rsidRPr="00DB2A5C">
        <w:rPr>
          <w:i/>
          <w:iCs/>
        </w:rPr>
        <w:t>Storskog</w:t>
      </w:r>
      <w:proofErr w:type="spellEnd"/>
      <w:r w:rsidRPr="00DB2A5C">
        <w:rPr>
          <w:i/>
          <w:iCs/>
        </w:rPr>
        <w:t xml:space="preserve"> border crossing with Russia in 2015 and subsequent legal developments</w:t>
      </w:r>
      <w:r w:rsidRPr="00DB2A5C">
        <w:t xml:space="preserve">, 2019, p. </w:t>
      </w:r>
      <w:r>
        <w:t xml:space="preserve">25, available at: </w:t>
      </w:r>
      <w:hyperlink w:history="1" r:id="rId1">
        <w:r w:rsidRPr="0098666F">
          <w:rPr>
            <w:rStyle w:val="Hyperlink"/>
          </w:rPr>
          <w:t>https://www.noas.no/wp-content/uploads/2019/07/Storskog-rapport-februar-2019.pdf</w:t>
        </w:r>
      </w:hyperlink>
    </w:p>
  </w:footnote>
  <w:footnote w:id="2">
    <w:p w:rsidR="007C3479" w:rsidP="007C3479" w:rsidRDefault="007C3479" w14:paraId="53016402" w14:textId="77777777">
      <w:pPr>
        <w:pStyle w:val="FootnoteText"/>
        <w:tabs>
          <w:tab w:val="clear" w:pos="1021"/>
          <w:tab w:val="right" w:pos="0"/>
        </w:tabs>
        <w:ind w:left="0" w:firstLine="0"/>
      </w:pPr>
      <w:r>
        <w:rPr>
          <w:rStyle w:val="FootnoteReference"/>
        </w:rPr>
        <w:footnoteRef/>
      </w:r>
      <w:r>
        <w:t xml:space="preserve"> Ibid. p. 21-25.</w:t>
      </w:r>
    </w:p>
  </w:footnote>
  <w:footnote w:id="3">
    <w:p w:rsidR="007C3479" w:rsidP="007C3479" w:rsidRDefault="007C3479" w14:paraId="19C5D455" w14:textId="77777777">
      <w:pPr>
        <w:pStyle w:val="FootnoteText"/>
      </w:pPr>
      <w:r>
        <w:rPr>
          <w:rStyle w:val="FootnoteReference"/>
        </w:rPr>
        <w:footnoteRef/>
      </w:r>
      <w:r>
        <w:t xml:space="preserve"> Ibid., p. 52.</w:t>
      </w:r>
    </w:p>
  </w:footnote>
  <w:footnote w:id="4">
    <w:p w:rsidR="007C3479" w:rsidP="007C3479" w:rsidRDefault="007C3479" w14:paraId="6814F7E7" w14:textId="77777777">
      <w:pPr>
        <w:pStyle w:val="FootnoteText"/>
      </w:pPr>
      <w:r>
        <w:rPr>
          <w:rStyle w:val="FootnoteReference"/>
        </w:rPr>
        <w:footnoteRef/>
      </w:r>
      <w:r>
        <w:t xml:space="preserve"> Ibid., p.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7E11"/>
    <w:multiLevelType w:val="hybridMultilevel"/>
    <w:tmpl w:val="26304B9E"/>
    <w:lvl w:ilvl="0" w:tplc="5D8064CC">
      <w:start w:val="1"/>
      <w:numFmt w:val="bullet"/>
      <w:lvlText w:val=""/>
      <w:lvlJc w:val="righ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3ADA0206"/>
    <w:multiLevelType w:val="hybridMultilevel"/>
    <w:tmpl w:val="C17A10D4"/>
    <w:lvl w:ilvl="0" w:tplc="DB968870">
      <w:start w:val="1"/>
      <w:numFmt w:val="decimal"/>
      <w:lvlText w:val="%1."/>
      <w:lvlJc w:val="left"/>
      <w:pPr>
        <w:ind w:left="235" w:hanging="234"/>
      </w:pPr>
      <w:rPr>
        <w:rFonts w:hint="default" w:ascii="Arial" w:hAnsi="Arial" w:eastAsia="Arial" w:cs="Arial"/>
        <w:b/>
        <w:bCs/>
        <w:color w:val="333399"/>
        <w:spacing w:val="-4"/>
        <w:w w:val="99"/>
        <w:sz w:val="21"/>
        <w:szCs w:val="21"/>
      </w:rPr>
    </w:lvl>
    <w:lvl w:ilvl="1" w:tplc="C2EC6300">
      <w:numFmt w:val="bullet"/>
      <w:lvlText w:val="•"/>
      <w:lvlJc w:val="left"/>
      <w:pPr>
        <w:ind w:left="1254" w:hanging="234"/>
      </w:pPr>
      <w:rPr>
        <w:rFonts w:hint="default"/>
      </w:rPr>
    </w:lvl>
    <w:lvl w:ilvl="2" w:tplc="8F9E324E">
      <w:numFmt w:val="bullet"/>
      <w:lvlText w:val="•"/>
      <w:lvlJc w:val="left"/>
      <w:pPr>
        <w:ind w:left="2269" w:hanging="234"/>
      </w:pPr>
      <w:rPr>
        <w:rFonts w:hint="default"/>
      </w:rPr>
    </w:lvl>
    <w:lvl w:ilvl="3" w:tplc="49B889A6">
      <w:numFmt w:val="bullet"/>
      <w:lvlText w:val="•"/>
      <w:lvlJc w:val="left"/>
      <w:pPr>
        <w:ind w:left="3283" w:hanging="234"/>
      </w:pPr>
      <w:rPr>
        <w:rFonts w:hint="default"/>
      </w:rPr>
    </w:lvl>
    <w:lvl w:ilvl="4" w:tplc="29D2A040">
      <w:numFmt w:val="bullet"/>
      <w:lvlText w:val="•"/>
      <w:lvlJc w:val="left"/>
      <w:pPr>
        <w:ind w:left="4298" w:hanging="234"/>
      </w:pPr>
      <w:rPr>
        <w:rFonts w:hint="default"/>
      </w:rPr>
    </w:lvl>
    <w:lvl w:ilvl="5" w:tplc="3AB8285C">
      <w:numFmt w:val="bullet"/>
      <w:lvlText w:val="•"/>
      <w:lvlJc w:val="left"/>
      <w:pPr>
        <w:ind w:left="5312" w:hanging="234"/>
      </w:pPr>
      <w:rPr>
        <w:rFonts w:hint="default"/>
      </w:rPr>
    </w:lvl>
    <w:lvl w:ilvl="6" w:tplc="B4C225FE">
      <w:numFmt w:val="bullet"/>
      <w:lvlText w:val="•"/>
      <w:lvlJc w:val="left"/>
      <w:pPr>
        <w:ind w:left="6327" w:hanging="234"/>
      </w:pPr>
      <w:rPr>
        <w:rFonts w:hint="default"/>
      </w:rPr>
    </w:lvl>
    <w:lvl w:ilvl="7" w:tplc="D3A84FD2">
      <w:numFmt w:val="bullet"/>
      <w:lvlText w:val="•"/>
      <w:lvlJc w:val="left"/>
      <w:pPr>
        <w:ind w:left="7341" w:hanging="234"/>
      </w:pPr>
      <w:rPr>
        <w:rFonts w:hint="default"/>
      </w:rPr>
    </w:lvl>
    <w:lvl w:ilvl="8" w:tplc="967C8F5C">
      <w:numFmt w:val="bullet"/>
      <w:lvlText w:val="•"/>
      <w:lvlJc w:val="left"/>
      <w:pPr>
        <w:ind w:left="8356" w:hanging="234"/>
      </w:pPr>
      <w:rPr>
        <w:rFonts w:hint="default"/>
      </w:rPr>
    </w:lvl>
  </w:abstractNum>
  <w:abstractNum w:abstractNumId="2" w15:restartNumberingAfterBreak="0">
    <w:nsid w:val="4481588E"/>
    <w:multiLevelType w:val="hybridMultilevel"/>
    <w:tmpl w:val="3096698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C32518"/>
    <w:multiLevelType w:val="hybridMultilevel"/>
    <w:tmpl w:val="78281A8A"/>
    <w:lvl w:ilvl="0" w:tplc="04140001">
      <w:start w:val="1"/>
      <w:numFmt w:val="bullet"/>
      <w:lvlText w:val=""/>
      <w:lvlJc w:val="left"/>
      <w:pPr>
        <w:ind w:left="770" w:hanging="360"/>
      </w:pPr>
      <w:rPr>
        <w:rFonts w:hint="default" w:ascii="Symbol" w:hAnsi="Symbol"/>
      </w:rPr>
    </w:lvl>
    <w:lvl w:ilvl="1" w:tplc="04140003" w:tentative="1">
      <w:start w:val="1"/>
      <w:numFmt w:val="bullet"/>
      <w:lvlText w:val="o"/>
      <w:lvlJc w:val="left"/>
      <w:pPr>
        <w:ind w:left="1490" w:hanging="360"/>
      </w:pPr>
      <w:rPr>
        <w:rFonts w:hint="default" w:ascii="Courier New" w:hAnsi="Courier New" w:cs="Courier New"/>
      </w:rPr>
    </w:lvl>
    <w:lvl w:ilvl="2" w:tplc="04140005" w:tentative="1">
      <w:start w:val="1"/>
      <w:numFmt w:val="bullet"/>
      <w:lvlText w:val=""/>
      <w:lvlJc w:val="left"/>
      <w:pPr>
        <w:ind w:left="2210" w:hanging="360"/>
      </w:pPr>
      <w:rPr>
        <w:rFonts w:hint="default" w:ascii="Wingdings" w:hAnsi="Wingdings"/>
      </w:rPr>
    </w:lvl>
    <w:lvl w:ilvl="3" w:tplc="04140001" w:tentative="1">
      <w:start w:val="1"/>
      <w:numFmt w:val="bullet"/>
      <w:lvlText w:val=""/>
      <w:lvlJc w:val="left"/>
      <w:pPr>
        <w:ind w:left="2930" w:hanging="360"/>
      </w:pPr>
      <w:rPr>
        <w:rFonts w:hint="default" w:ascii="Symbol" w:hAnsi="Symbol"/>
      </w:rPr>
    </w:lvl>
    <w:lvl w:ilvl="4" w:tplc="04140003" w:tentative="1">
      <w:start w:val="1"/>
      <w:numFmt w:val="bullet"/>
      <w:lvlText w:val="o"/>
      <w:lvlJc w:val="left"/>
      <w:pPr>
        <w:ind w:left="3650" w:hanging="360"/>
      </w:pPr>
      <w:rPr>
        <w:rFonts w:hint="default" w:ascii="Courier New" w:hAnsi="Courier New" w:cs="Courier New"/>
      </w:rPr>
    </w:lvl>
    <w:lvl w:ilvl="5" w:tplc="04140005" w:tentative="1">
      <w:start w:val="1"/>
      <w:numFmt w:val="bullet"/>
      <w:lvlText w:val=""/>
      <w:lvlJc w:val="left"/>
      <w:pPr>
        <w:ind w:left="4370" w:hanging="360"/>
      </w:pPr>
      <w:rPr>
        <w:rFonts w:hint="default" w:ascii="Wingdings" w:hAnsi="Wingdings"/>
      </w:rPr>
    </w:lvl>
    <w:lvl w:ilvl="6" w:tplc="04140001" w:tentative="1">
      <w:start w:val="1"/>
      <w:numFmt w:val="bullet"/>
      <w:lvlText w:val=""/>
      <w:lvlJc w:val="left"/>
      <w:pPr>
        <w:ind w:left="5090" w:hanging="360"/>
      </w:pPr>
      <w:rPr>
        <w:rFonts w:hint="default" w:ascii="Symbol" w:hAnsi="Symbol"/>
      </w:rPr>
    </w:lvl>
    <w:lvl w:ilvl="7" w:tplc="04140003" w:tentative="1">
      <w:start w:val="1"/>
      <w:numFmt w:val="bullet"/>
      <w:lvlText w:val="o"/>
      <w:lvlJc w:val="left"/>
      <w:pPr>
        <w:ind w:left="5810" w:hanging="360"/>
      </w:pPr>
      <w:rPr>
        <w:rFonts w:hint="default" w:ascii="Courier New" w:hAnsi="Courier New" w:cs="Courier New"/>
      </w:rPr>
    </w:lvl>
    <w:lvl w:ilvl="8" w:tplc="04140005" w:tentative="1">
      <w:start w:val="1"/>
      <w:numFmt w:val="bullet"/>
      <w:lvlText w:val=""/>
      <w:lvlJc w:val="left"/>
      <w:pPr>
        <w:ind w:left="6530" w:hanging="360"/>
      </w:pPr>
      <w:rPr>
        <w:rFonts w:hint="default" w:ascii="Wingdings" w:hAnsi="Wingdings"/>
      </w:rPr>
    </w:lvl>
  </w:abstractNum>
  <w:abstractNum w:abstractNumId="4" w15:restartNumberingAfterBreak="0">
    <w:nsid w:val="770F45CA"/>
    <w:multiLevelType w:val="hybridMultilevel"/>
    <w:tmpl w:val="9F1A52FE"/>
    <w:lvl w:ilvl="0" w:tplc="EE0AB59C">
      <w:start w:val="1"/>
      <w:numFmt w:val="decimal"/>
      <w:lvlText w:val="%1."/>
      <w:lvlJc w:val="left"/>
      <w:pPr>
        <w:ind w:left="720" w:hanging="360"/>
      </w:pPr>
      <w:rPr>
        <w:rFonts w:hint="default" w:ascii="Arial" w:hAnsi="Arial" w:eastAsia="Arial" w:cs="Arial"/>
        <w:b/>
        <w:color w:val="333399"/>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0D"/>
    <w:rsid w:val="000564A3"/>
    <w:rsid w:val="00056A21"/>
    <w:rsid w:val="0009423F"/>
    <w:rsid w:val="00095740"/>
    <w:rsid w:val="000C4326"/>
    <w:rsid w:val="000C6C8C"/>
    <w:rsid w:val="000D3E55"/>
    <w:rsid w:val="000F7F1E"/>
    <w:rsid w:val="00106F22"/>
    <w:rsid w:val="001168E5"/>
    <w:rsid w:val="00124247"/>
    <w:rsid w:val="00132DC6"/>
    <w:rsid w:val="00146775"/>
    <w:rsid w:val="00172C8E"/>
    <w:rsid w:val="00180992"/>
    <w:rsid w:val="00185C76"/>
    <w:rsid w:val="001B0218"/>
    <w:rsid w:val="00212898"/>
    <w:rsid w:val="00230907"/>
    <w:rsid w:val="00256E0C"/>
    <w:rsid w:val="00266778"/>
    <w:rsid w:val="0027045B"/>
    <w:rsid w:val="00285723"/>
    <w:rsid w:val="0029121A"/>
    <w:rsid w:val="002B5537"/>
    <w:rsid w:val="002C58A4"/>
    <w:rsid w:val="002E3E36"/>
    <w:rsid w:val="002F49B7"/>
    <w:rsid w:val="00302832"/>
    <w:rsid w:val="003174EA"/>
    <w:rsid w:val="00322862"/>
    <w:rsid w:val="00343BCB"/>
    <w:rsid w:val="00386EBF"/>
    <w:rsid w:val="003879BD"/>
    <w:rsid w:val="003A263A"/>
    <w:rsid w:val="003C2F9A"/>
    <w:rsid w:val="003C7A2D"/>
    <w:rsid w:val="00405892"/>
    <w:rsid w:val="004061D4"/>
    <w:rsid w:val="00413CE1"/>
    <w:rsid w:val="0047672B"/>
    <w:rsid w:val="004A5A78"/>
    <w:rsid w:val="004B680D"/>
    <w:rsid w:val="004C088F"/>
    <w:rsid w:val="004C2513"/>
    <w:rsid w:val="004C393F"/>
    <w:rsid w:val="00520E8F"/>
    <w:rsid w:val="00525F71"/>
    <w:rsid w:val="00535B65"/>
    <w:rsid w:val="00546D01"/>
    <w:rsid w:val="005657F7"/>
    <w:rsid w:val="00586F0D"/>
    <w:rsid w:val="005F05D8"/>
    <w:rsid w:val="0061695B"/>
    <w:rsid w:val="006607D3"/>
    <w:rsid w:val="0068565A"/>
    <w:rsid w:val="006966EE"/>
    <w:rsid w:val="006A0051"/>
    <w:rsid w:val="006B5237"/>
    <w:rsid w:val="006C39BF"/>
    <w:rsid w:val="006E65A5"/>
    <w:rsid w:val="00736363"/>
    <w:rsid w:val="00774977"/>
    <w:rsid w:val="00782FA9"/>
    <w:rsid w:val="007A0DBA"/>
    <w:rsid w:val="007B2C4F"/>
    <w:rsid w:val="007C3479"/>
    <w:rsid w:val="007E2FA5"/>
    <w:rsid w:val="007F4FA1"/>
    <w:rsid w:val="00817DDE"/>
    <w:rsid w:val="00862D94"/>
    <w:rsid w:val="00870185"/>
    <w:rsid w:val="00874ADA"/>
    <w:rsid w:val="008841D6"/>
    <w:rsid w:val="00894A65"/>
    <w:rsid w:val="00895A5B"/>
    <w:rsid w:val="008B773B"/>
    <w:rsid w:val="008D7A55"/>
    <w:rsid w:val="008F238F"/>
    <w:rsid w:val="009344B1"/>
    <w:rsid w:val="00936ADB"/>
    <w:rsid w:val="00950CCC"/>
    <w:rsid w:val="0095245B"/>
    <w:rsid w:val="00972B32"/>
    <w:rsid w:val="00A006F6"/>
    <w:rsid w:val="00A12A30"/>
    <w:rsid w:val="00A3340B"/>
    <w:rsid w:val="00A443E3"/>
    <w:rsid w:val="00A62F34"/>
    <w:rsid w:val="00A70234"/>
    <w:rsid w:val="00A71E2E"/>
    <w:rsid w:val="00A823EE"/>
    <w:rsid w:val="00A82791"/>
    <w:rsid w:val="00AC7C55"/>
    <w:rsid w:val="00AD0911"/>
    <w:rsid w:val="00AD0F78"/>
    <w:rsid w:val="00AD72B2"/>
    <w:rsid w:val="00AF0F9A"/>
    <w:rsid w:val="00AF1320"/>
    <w:rsid w:val="00AF6BD2"/>
    <w:rsid w:val="00B0377E"/>
    <w:rsid w:val="00B070DF"/>
    <w:rsid w:val="00B16025"/>
    <w:rsid w:val="00B30119"/>
    <w:rsid w:val="00B47840"/>
    <w:rsid w:val="00B5440B"/>
    <w:rsid w:val="00B67729"/>
    <w:rsid w:val="00B72FE6"/>
    <w:rsid w:val="00C02B25"/>
    <w:rsid w:val="00C21537"/>
    <w:rsid w:val="00C23681"/>
    <w:rsid w:val="00C3254D"/>
    <w:rsid w:val="00C55F9A"/>
    <w:rsid w:val="00C61DC9"/>
    <w:rsid w:val="00C701AB"/>
    <w:rsid w:val="00C73BB6"/>
    <w:rsid w:val="00C73E09"/>
    <w:rsid w:val="00CC3089"/>
    <w:rsid w:val="00CD7D5E"/>
    <w:rsid w:val="00D76D20"/>
    <w:rsid w:val="00D9618A"/>
    <w:rsid w:val="00DB2788"/>
    <w:rsid w:val="00DB2A5C"/>
    <w:rsid w:val="00DB77FB"/>
    <w:rsid w:val="00DC1230"/>
    <w:rsid w:val="00DC62CB"/>
    <w:rsid w:val="00DE1E42"/>
    <w:rsid w:val="00DE2F11"/>
    <w:rsid w:val="00E32F53"/>
    <w:rsid w:val="00E4716E"/>
    <w:rsid w:val="00E83557"/>
    <w:rsid w:val="00E933F6"/>
    <w:rsid w:val="00E93D79"/>
    <w:rsid w:val="00E96227"/>
    <w:rsid w:val="00EB38C0"/>
    <w:rsid w:val="00F74558"/>
    <w:rsid w:val="00F7461B"/>
    <w:rsid w:val="00F829B8"/>
    <w:rsid w:val="00F86B5D"/>
    <w:rsid w:val="00F94FB9"/>
    <w:rsid w:val="00FB19FC"/>
    <w:rsid w:val="00FB304E"/>
    <w:rsid w:val="00FD6A7A"/>
    <w:rsid w:val="00FE01E9"/>
    <w:rsid w:val="00FE3583"/>
    <w:rsid w:val="381D26DA"/>
    <w:rsid w:val="68558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F860"/>
  <w15:docId w15:val="{C39308B0-1E67-4F75-A259-3714AE1EC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586F0D"/>
    <w:pPr>
      <w:widowControl w:val="0"/>
      <w:autoSpaceDE w:val="0"/>
      <w:autoSpaceDN w:val="0"/>
      <w:spacing w:after="0" w:line="240" w:lineRule="auto"/>
      <w:ind w:left="235"/>
      <w:outlineLvl w:val="0"/>
    </w:pPr>
    <w:rPr>
      <w:rFonts w:ascii="Arial Unicode MS" w:hAnsi="Arial Unicode MS" w:eastAsia="Arial Unicode MS" w:cs="Arial Unicode MS"/>
      <w:sz w:val="30"/>
      <w:szCs w:val="30"/>
      <w:lang w:val="en-US"/>
    </w:rPr>
  </w:style>
  <w:style w:type="paragraph" w:styleId="Heading3">
    <w:name w:val="heading 3"/>
    <w:basedOn w:val="Normal"/>
    <w:next w:val="Normal"/>
    <w:link w:val="Heading3Char"/>
    <w:uiPriority w:val="9"/>
    <w:semiHidden/>
    <w:unhideWhenUsed/>
    <w:qFormat/>
    <w:rsid w:val="00185C7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86F0D"/>
    <w:pPr>
      <w:spacing w:after="0" w:line="240" w:lineRule="auto"/>
    </w:pPr>
  </w:style>
  <w:style w:type="paragraph" w:styleId="BodyText">
    <w:name w:val="Body Text"/>
    <w:basedOn w:val="Normal"/>
    <w:link w:val="BodyTextChar"/>
    <w:uiPriority w:val="99"/>
    <w:semiHidden/>
    <w:unhideWhenUsed/>
    <w:rsid w:val="00586F0D"/>
    <w:pPr>
      <w:spacing w:after="120"/>
    </w:pPr>
  </w:style>
  <w:style w:type="character" w:styleId="BodyTextChar" w:customStyle="1">
    <w:name w:val="Body Text Char"/>
    <w:basedOn w:val="DefaultParagraphFont"/>
    <w:link w:val="BodyText"/>
    <w:uiPriority w:val="99"/>
    <w:semiHidden/>
    <w:rsid w:val="00586F0D"/>
  </w:style>
  <w:style w:type="character" w:styleId="Hyperlink">
    <w:name w:val="Hyperlink"/>
    <w:basedOn w:val="DefaultParagraphFont"/>
    <w:uiPriority w:val="99"/>
    <w:unhideWhenUsed/>
    <w:rsid w:val="00586F0D"/>
    <w:rPr>
      <w:color w:val="0563C1" w:themeColor="hyperlink"/>
      <w:u w:val="single"/>
    </w:rPr>
  </w:style>
  <w:style w:type="character" w:styleId="UnresolvedMention1" w:customStyle="1">
    <w:name w:val="Unresolved Mention1"/>
    <w:basedOn w:val="DefaultParagraphFont"/>
    <w:uiPriority w:val="99"/>
    <w:semiHidden/>
    <w:unhideWhenUsed/>
    <w:rsid w:val="00586F0D"/>
    <w:rPr>
      <w:color w:val="605E5C"/>
      <w:shd w:val="clear" w:color="auto" w:fill="E1DFDD"/>
    </w:rPr>
  </w:style>
  <w:style w:type="character" w:styleId="Heading1Char" w:customStyle="1">
    <w:name w:val="Heading 1 Char"/>
    <w:basedOn w:val="DefaultParagraphFont"/>
    <w:link w:val="Heading1"/>
    <w:uiPriority w:val="9"/>
    <w:rsid w:val="00586F0D"/>
    <w:rPr>
      <w:rFonts w:ascii="Arial Unicode MS" w:hAnsi="Arial Unicode MS" w:eastAsia="Arial Unicode MS" w:cs="Arial Unicode MS"/>
      <w:sz w:val="30"/>
      <w:szCs w:val="30"/>
      <w:lang w:val="en-US"/>
    </w:rPr>
  </w:style>
  <w:style w:type="paragraph" w:styleId="ListParagraph">
    <w:name w:val="List Paragraph"/>
    <w:basedOn w:val="Normal"/>
    <w:uiPriority w:val="34"/>
    <w:qFormat/>
    <w:rsid w:val="00586F0D"/>
    <w:pPr>
      <w:widowControl w:val="0"/>
      <w:autoSpaceDE w:val="0"/>
      <w:autoSpaceDN w:val="0"/>
      <w:spacing w:after="0" w:line="240" w:lineRule="auto"/>
      <w:ind w:left="235"/>
    </w:pPr>
    <w:rPr>
      <w:rFonts w:ascii="Arial" w:hAnsi="Arial" w:eastAsia="Arial" w:cs="Arial"/>
      <w:lang w:val="en-US"/>
    </w:rPr>
  </w:style>
  <w:style w:type="character" w:styleId="FootnoteTextChar" w:customStyle="1">
    <w:name w:val="Footnote Text Char"/>
    <w:aliases w:val="5_G Char,Char Char Char Char Char,FOOTNOTES Char,fn Char,Footnote Text Char Char Char1 Char,Footnote Text Char1 Char Char Char1 Char,Footnote Text Char1 Char1 Char Char,Nbpage Moens Char,footnote text Char,ft Char,Fußnote Char"/>
    <w:basedOn w:val="DefaultParagraphFont"/>
    <w:link w:val="FootnoteText"/>
    <w:uiPriority w:val="99"/>
    <w:semiHidden/>
    <w:locked/>
    <w:rsid w:val="004C088F"/>
    <w:rPr>
      <w:rFonts w:ascii="Times New Roman" w:hAnsi="Times New Roman" w:cs="Times New Roman"/>
      <w:sz w:val="18"/>
      <w:szCs w:val="20"/>
    </w:rPr>
  </w:style>
  <w:style w:type="paragraph" w:styleId="FootnoteText">
    <w:name w:val="footnote text"/>
    <w:aliases w:val="5_G,Char Char Char Char,FOOTNOTES,fn,Footnote Text Char Char Char1,Footnote Text Char1 Char Char Char1,Footnote Text Char1 Char1 Char,Nbpage Moens,footnote text,ft,Fußnote,single space,Footnote Text Char Char1"/>
    <w:basedOn w:val="Normal"/>
    <w:link w:val="FootnoteTextChar"/>
    <w:uiPriority w:val="99"/>
    <w:semiHidden/>
    <w:unhideWhenUsed/>
    <w:qFormat/>
    <w:rsid w:val="004C088F"/>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hAnsi="Times New Roman" w:cs="Times New Roman"/>
      <w:sz w:val="18"/>
      <w:szCs w:val="20"/>
    </w:rPr>
  </w:style>
  <w:style w:type="character" w:styleId="FotnotetekstTegn1" w:customStyle="1">
    <w:name w:val="Fotnotetekst Tegn1"/>
    <w:basedOn w:val="DefaultParagraphFont"/>
    <w:uiPriority w:val="99"/>
    <w:semiHidden/>
    <w:rsid w:val="004C088F"/>
    <w:rPr>
      <w:sz w:val="20"/>
      <w:szCs w:val="20"/>
    </w:rPr>
  </w:style>
  <w:style w:type="paragraph" w:styleId="xmsonormal" w:customStyle="1">
    <w:name w:val="x_msonormal"/>
    <w:basedOn w:val="Normal"/>
    <w:rsid w:val="004C088F"/>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paragraph" w:styleId="xsingletxtg" w:customStyle="1">
    <w:name w:val="x_singletxtg"/>
    <w:basedOn w:val="Normal"/>
    <w:rsid w:val="004C088F"/>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character" w:styleId="FootnoteReference">
    <w:name w:val="footnote reference"/>
    <w:aliases w:val="4_G,BVI fnr Char Car Car Car Char Char,ftref"/>
    <w:basedOn w:val="DefaultParagraphFont"/>
    <w:link w:val="16Point"/>
    <w:uiPriority w:val="99"/>
    <w:unhideWhenUsed/>
    <w:qFormat/>
    <w:rsid w:val="004C088F"/>
    <w:rPr>
      <w:rFonts w:ascii="Times New Roman" w:hAnsi="Times New Roman" w:cs="Times New Roman"/>
      <w:sz w:val="18"/>
      <w:vertAlign w:val="superscript"/>
    </w:rPr>
  </w:style>
  <w:style w:type="paragraph" w:styleId="16Point" w:customStyle="1">
    <w:name w:val="16 Point"/>
    <w:aliases w:val="Superscript 6 Point,4_G Char Char,Footnote Reference1 Char Char,Footnotes refss Char Char,ftref Char Char,BVI fnr Char Char,BVI fnr Car Car Char Char,BVI fnr Car Char Char,BVI fnr Car Car Car Car Char Char1"/>
    <w:basedOn w:val="Normal"/>
    <w:link w:val="FootnoteReference"/>
    <w:uiPriority w:val="99"/>
    <w:rsid w:val="004C088F"/>
    <w:pPr>
      <w:spacing w:line="240" w:lineRule="exact"/>
      <w:jc w:val="both"/>
    </w:pPr>
    <w:rPr>
      <w:rFonts w:ascii="Times New Roman" w:hAnsi="Times New Roman" w:cs="Times New Roman"/>
      <w:sz w:val="18"/>
      <w:vertAlign w:val="superscript"/>
    </w:rPr>
  </w:style>
  <w:style w:type="character" w:styleId="xnormaltextrun1" w:customStyle="1">
    <w:name w:val="x_normaltextrun1"/>
    <w:basedOn w:val="DefaultParagraphFont"/>
    <w:rsid w:val="004C088F"/>
  </w:style>
  <w:style w:type="character" w:styleId="FollowedHyperlink">
    <w:name w:val="FollowedHyperlink"/>
    <w:basedOn w:val="DefaultParagraphFont"/>
    <w:uiPriority w:val="99"/>
    <w:semiHidden/>
    <w:unhideWhenUsed/>
    <w:rsid w:val="004C088F"/>
    <w:rPr>
      <w:color w:val="954F72" w:themeColor="followedHyperlink"/>
      <w:u w:val="single"/>
    </w:rPr>
  </w:style>
  <w:style w:type="paragraph" w:styleId="NormalWeb">
    <w:name w:val="Normal (Web)"/>
    <w:basedOn w:val="Normal"/>
    <w:uiPriority w:val="99"/>
    <w:semiHidden/>
    <w:unhideWhenUsed/>
    <w:rsid w:val="00EB38C0"/>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character" w:styleId="Heading3Char" w:customStyle="1">
    <w:name w:val="Heading 3 Char"/>
    <w:basedOn w:val="DefaultParagraphFont"/>
    <w:link w:val="Heading3"/>
    <w:uiPriority w:val="9"/>
    <w:semiHidden/>
    <w:rsid w:val="00185C76"/>
    <w:rPr>
      <w:rFonts w:asciiTheme="majorHAnsi" w:hAnsiTheme="majorHAnsi" w:eastAsiaTheme="majorEastAsia" w:cstheme="majorBidi"/>
      <w:color w:val="1F3763" w:themeColor="accent1" w:themeShade="7F"/>
      <w:sz w:val="24"/>
      <w:szCs w:val="24"/>
    </w:rPr>
  </w:style>
  <w:style w:type="character" w:styleId="CommentReference">
    <w:name w:val="annotation reference"/>
    <w:basedOn w:val="DefaultParagraphFont"/>
    <w:uiPriority w:val="99"/>
    <w:semiHidden/>
    <w:unhideWhenUsed/>
    <w:rsid w:val="00185C76"/>
    <w:rPr>
      <w:sz w:val="16"/>
      <w:szCs w:val="16"/>
    </w:rPr>
  </w:style>
  <w:style w:type="paragraph" w:styleId="CommentText">
    <w:name w:val="annotation text"/>
    <w:basedOn w:val="Normal"/>
    <w:link w:val="CommentTextChar"/>
    <w:uiPriority w:val="99"/>
    <w:unhideWhenUsed/>
    <w:rsid w:val="00185C76"/>
    <w:pPr>
      <w:spacing w:line="240" w:lineRule="auto"/>
    </w:pPr>
    <w:rPr>
      <w:sz w:val="20"/>
      <w:szCs w:val="20"/>
      <w:lang w:val="nb-NO"/>
    </w:rPr>
  </w:style>
  <w:style w:type="character" w:styleId="CommentTextChar" w:customStyle="1">
    <w:name w:val="Comment Text Char"/>
    <w:basedOn w:val="DefaultParagraphFont"/>
    <w:link w:val="CommentText"/>
    <w:uiPriority w:val="99"/>
    <w:rsid w:val="00185C76"/>
    <w:rPr>
      <w:sz w:val="20"/>
      <w:szCs w:val="20"/>
      <w:lang w:val="nb-NO"/>
    </w:rPr>
  </w:style>
  <w:style w:type="paragraph" w:styleId="BalloonText">
    <w:name w:val="Balloon Text"/>
    <w:basedOn w:val="Normal"/>
    <w:link w:val="BalloonTextChar"/>
    <w:uiPriority w:val="99"/>
    <w:semiHidden/>
    <w:unhideWhenUsed/>
    <w:rsid w:val="00185C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85C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E1E42"/>
    <w:rPr>
      <w:b/>
      <w:bCs/>
      <w:lang w:val="en-GB"/>
    </w:rPr>
  </w:style>
  <w:style w:type="character" w:styleId="CommentSubjectChar" w:customStyle="1">
    <w:name w:val="Comment Subject Char"/>
    <w:basedOn w:val="CommentTextChar"/>
    <w:link w:val="CommentSubject"/>
    <w:uiPriority w:val="99"/>
    <w:semiHidden/>
    <w:rsid w:val="00DE1E42"/>
    <w:rPr>
      <w:b/>
      <w:bCs/>
      <w:sz w:val="20"/>
      <w:szCs w:val="20"/>
      <w:lang w:val="nb-NO"/>
    </w:rPr>
  </w:style>
  <w:style w:type="character" w:styleId="UnresolvedMention2" w:customStyle="1">
    <w:name w:val="Unresolved Mention2"/>
    <w:basedOn w:val="DefaultParagraphFont"/>
    <w:uiPriority w:val="99"/>
    <w:semiHidden/>
    <w:unhideWhenUsed/>
    <w:rsid w:val="00DB2A5C"/>
    <w:rPr>
      <w:color w:val="605E5C"/>
      <w:shd w:val="clear" w:color="auto" w:fill="E1DFDD"/>
    </w:rPr>
  </w:style>
  <w:style w:type="paragraph" w:styleId="HTMLPreformatted">
    <w:name w:val="HTML Preformatted"/>
    <w:basedOn w:val="Normal"/>
    <w:link w:val="HTMLPreformattedChar"/>
    <w:uiPriority w:val="99"/>
    <w:semiHidden/>
    <w:unhideWhenUsed/>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nb-NO" w:eastAsia="nb-NO"/>
    </w:rPr>
  </w:style>
  <w:style w:type="character" w:styleId="HTMLPreformattedChar" w:customStyle="1">
    <w:name w:val="HTML Preformatted Char"/>
    <w:basedOn w:val="DefaultParagraphFont"/>
    <w:link w:val="HTMLPreformatted"/>
    <w:uiPriority w:val="99"/>
    <w:semiHidden/>
    <w:rsid w:val="00F74558"/>
    <w:rPr>
      <w:rFonts w:ascii="Courier New" w:hAnsi="Courier New" w:eastAsia="Times New Roman" w:cs="Courier New"/>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869372">
      <w:bodyDiv w:val="1"/>
      <w:marLeft w:val="0"/>
      <w:marRight w:val="0"/>
      <w:marTop w:val="0"/>
      <w:marBottom w:val="0"/>
      <w:divBdr>
        <w:top w:val="none" w:sz="0" w:space="0" w:color="auto"/>
        <w:left w:val="none" w:sz="0" w:space="0" w:color="auto"/>
        <w:bottom w:val="none" w:sz="0" w:space="0" w:color="auto"/>
        <w:right w:val="none" w:sz="0" w:space="0" w:color="auto"/>
      </w:divBdr>
    </w:div>
    <w:div w:id="918900713">
      <w:bodyDiv w:val="1"/>
      <w:marLeft w:val="0"/>
      <w:marRight w:val="0"/>
      <w:marTop w:val="0"/>
      <w:marBottom w:val="0"/>
      <w:divBdr>
        <w:top w:val="none" w:sz="0" w:space="0" w:color="auto"/>
        <w:left w:val="none" w:sz="0" w:space="0" w:color="auto"/>
        <w:bottom w:val="none" w:sz="0" w:space="0" w:color="auto"/>
        <w:right w:val="none" w:sz="0" w:space="0" w:color="auto"/>
      </w:divBdr>
      <w:divsChild>
        <w:div w:id="1094786228">
          <w:marLeft w:val="0"/>
          <w:marRight w:val="0"/>
          <w:marTop w:val="0"/>
          <w:marBottom w:val="0"/>
          <w:divBdr>
            <w:top w:val="none" w:sz="0" w:space="0" w:color="auto"/>
            <w:left w:val="none" w:sz="0" w:space="0" w:color="auto"/>
            <w:bottom w:val="none" w:sz="0" w:space="0" w:color="auto"/>
            <w:right w:val="none" w:sz="0" w:space="0" w:color="auto"/>
          </w:divBdr>
        </w:div>
      </w:divsChild>
    </w:div>
    <w:div w:id="14744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noas.no/wp-content/uploads/2019/07/Storskog-rapport-februar-2019.pdf" TargetMode="External" Id="rId13" /><Relationship Type="http://schemas.openxmlformats.org/officeDocument/2006/relationships/hyperlink" Target="https://www.udi.no/en/have-applied/protection-asylum/can-you-work/" TargetMode="External" Id="rId18" /><Relationship Type="http://schemas.openxmlformats.org/officeDocument/2006/relationships/hyperlink" Target="https://www.udi.no/aktuelt/intervjuer-flyktninger-i-libya-via-teams/" TargetMode="External" Id="rId26" /><Relationship Type="http://schemas.openxmlformats.org/officeDocument/2006/relationships/customXml" Target="../customXml/item4.xml" Id="rId39" /><Relationship Type="http://schemas.openxmlformats.org/officeDocument/2006/relationships/hyperlink" Target="https://www.regjeringen.no/no/dokumenter/politisk-plattform/id2626036/" TargetMode="External" Id="rId21" /><Relationship Type="http://schemas.openxmlformats.org/officeDocument/2006/relationships/hyperlink" Target="https://www.easo.europa.eu/legal" TargetMode="External" Id="rId34" /><Relationship Type="http://schemas.openxmlformats.org/officeDocument/2006/relationships/endnotes" Target="endnotes.xml" Id="rId7" /><Relationship Type="http://schemas.openxmlformats.org/officeDocument/2006/relationships/hyperlink" Target="https://www.noas.no/wp-content/uploads/2019/07/Storskog-rapport-februar-2019.pdf" TargetMode="External" Id="rId12" /><Relationship Type="http://schemas.openxmlformats.org/officeDocument/2006/relationships/hyperlink" Target="https://www.regjeringen.no/no/dokumenter/prop.-82-l-20202021/id2833731/" TargetMode="External" Id="rId17" /><Relationship Type="http://schemas.openxmlformats.org/officeDocument/2006/relationships/hyperlink" Target="https://www.regjeringen.no/no/dokumenter/horing---ny-forskrift-om-tilsynsradet/id2669680/" TargetMode="External" Id="rId25" /><Relationship Type="http://schemas.openxmlformats.org/officeDocument/2006/relationships/hyperlink" Target="https://www.stortinget.no/no/Saker-og-publikasjoner/Saker/Sak/?p=82467" TargetMode="External" Id="rId33" /><Relationship Type="http://schemas.openxmlformats.org/officeDocument/2006/relationships/customXml" Target="../customXml/item3.xml" Id="rId38" /><Relationship Type="http://schemas.openxmlformats.org/officeDocument/2006/relationships/numbering" Target="numbering.xml" Id="rId2" /><Relationship Type="http://schemas.openxmlformats.org/officeDocument/2006/relationships/hyperlink" Target="https://www.stortinget.no/no/Saker-og-publikasjoner/Saker/Sak/?p=68565" TargetMode="External" Id="rId16" /><Relationship Type="http://schemas.openxmlformats.org/officeDocument/2006/relationships/hyperlink" Target="https://www.regjeringen.no/no/dokumenter/nou-2017-8/id2542284/" TargetMode="External" Id="rId20" /><Relationship Type="http://schemas.openxmlformats.org/officeDocument/2006/relationships/hyperlink" Target="https://www.udi.no/aktuelt/udi-henter-asylsokere-fra-hellas/"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regjeringen.no/no/dokumenter/nou-2020-5/id2700210/?fbclid=IwAR2b1SAyaT3sJ3MtqPCV5Fx0PglndErea7MngGLDxPWTH56oaJMtggEmDbo" TargetMode="External" Id="rId11" /><Relationship Type="http://schemas.openxmlformats.org/officeDocument/2006/relationships/hyperlink" Target="https://eur-lex.europa.eu/legal-content/EN/TXT/PDF/?uri=CELEX:32008L0115&amp;from=DA" TargetMode="External" Id="rId24" /><Relationship Type="http://schemas.openxmlformats.org/officeDocument/2006/relationships/hyperlink" Target="https://www.domstol.no/Enkelt-domstol/hoyesterett/avgjorelser/2020/hoyesterett-sivil/hr-2020-1799-a/" TargetMode="External" Id="rId32" /><Relationship Type="http://schemas.openxmlformats.org/officeDocument/2006/relationships/customXml" Target="../customXml/item2.xml" Id="rId37" /><Relationship Type="http://schemas.openxmlformats.org/officeDocument/2006/relationships/customXml" Target="../customXml/item5.xml" Id="rId40" /><Relationship Type="http://schemas.openxmlformats.org/officeDocument/2006/relationships/webSettings" Target="webSettings.xml" Id="rId5" /><Relationship Type="http://schemas.openxmlformats.org/officeDocument/2006/relationships/hyperlink" Target="https://www.nhri.no/2017/temarapport-2016-omsorg-enslige-mindrearige-asylsokere/" TargetMode="External" Id="rId15" /><Relationship Type="http://schemas.openxmlformats.org/officeDocument/2006/relationships/hyperlink" Target="https://www.politiet.no/globalassets/04-aktuelt-tall-og-fakta/uttransporteringer/engelsk/2020/december-2020---forced-returns-from-norway.pdf" TargetMode="External" Id="rId23" /><Relationship Type="http://schemas.openxmlformats.org/officeDocument/2006/relationships/hyperlink" Target="https://www.regjeringen.no/no/aktuelt/norge-starter-prosessen-med-relokalisering-fra-hellas/id2740826/" TargetMode="External" Id="rId28" /><Relationship Type="http://schemas.openxmlformats.org/officeDocument/2006/relationships/theme" Target="theme/theme1.xml" Id="rId36" /><Relationship Type="http://schemas.openxmlformats.org/officeDocument/2006/relationships/hyperlink" Target="https://www.regjeringen.no/no/dokumenter/instruks---rutiner-for-rask-handtering-av-personer-som-ankommer-over-norskrussisk-landegrense-storskog-uten-gyldig-visum-eller-annen-gyldig-innreisetillatelse-til-norge/id2474019/" TargetMode="External" Id="rId10" /><Relationship Type="http://schemas.openxmlformats.org/officeDocument/2006/relationships/hyperlink" Target="https://www.udi.no/asylmottak/bor-eller-onsker-a-bo-i-et-asylmottak/integreringsmottak/" TargetMode="External" Id="rId19" /><Relationship Type="http://schemas.openxmlformats.org/officeDocument/2006/relationships/hyperlink" Target="https://www.domstol.no/Enkelt-domstol/hoyesterett/avgjorelser/2020/hoyesterett-sivil/hr-2020-2408-a/" TargetMode="External" Id="rId31" /><Relationship Type="http://schemas.openxmlformats.org/officeDocument/2006/relationships/settings" Target="settings.xml" Id="rId4" /><Relationship Type="http://schemas.openxmlformats.org/officeDocument/2006/relationships/hyperlink" Target="https://easo.europa.eu/asylum-report-2020" TargetMode="External" Id="rId9" /><Relationship Type="http://schemas.openxmlformats.org/officeDocument/2006/relationships/hyperlink" Target="https://www.noas.no/wp-content/uploads/2019/07/Storskog-rapport-februar-2019.pdf" TargetMode="External" Id="rId14" /><Relationship Type="http://schemas.openxmlformats.org/officeDocument/2006/relationships/hyperlink" Target="https://www.stortinget.no/no/Saker-og-publikasjoner/Saker/Sak/?p=79200" TargetMode="External" Id="rId22" /><Relationship Type="http://schemas.openxmlformats.org/officeDocument/2006/relationships/hyperlink" Target="https://www.udi.no/statistikk-og-analyse/statistikk/overforingsflyktninger-etter-statsborgerskap-innvilgelser-og-ankomster-2020/" TargetMode="External" Id="rId27" /><Relationship Type="http://schemas.openxmlformats.org/officeDocument/2006/relationships/hyperlink" Target="https://caselaw.easo.europa.eu/Pages/default.aspx" TargetMode="External" Id="rId30" /><Relationship Type="http://schemas.openxmlformats.org/officeDocument/2006/relationships/fontTable" Target="fontTable.xml" Id="rId35" /><Relationship Type="http://schemas.openxmlformats.org/officeDocument/2006/relationships/styles" Target="styles.xml" Id="rId3" /><Relationship Type="http://schemas.openxmlformats.org/officeDocument/2006/relationships/hyperlink" Target="https://www.easo.europa.eu/asylum-report" TargetMode="External" Id="R5c21e1ef9d3d4d52" /><Relationship Type="http://schemas.openxmlformats.org/officeDocument/2006/relationships/glossaryDocument" Target="/word/glossary/document.xml" Id="R9c22e64fac1b4d82" /></Relationships>
</file>

<file path=word/_rels/footnotes.xml.rels><?xml version="1.0" encoding="UTF-8" standalone="yes"?>
<Relationships xmlns="http://schemas.openxmlformats.org/package/2006/relationships"><Relationship Id="rId1" Type="http://schemas.openxmlformats.org/officeDocument/2006/relationships/hyperlink" Target="https://www.noas.no/wp-content/uploads/2019/07/Storskog-rapport-februar-2019.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c74826-97fc-49ca-9206-fdd5c19b2145}"/>
      </w:docPartPr>
      <w:docPartBody>
        <w:p w14:paraId="68558CC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ASO Document" ma:contentTypeID="0x010100627147F146C0AB4C96FB1263775BA7FD00DDFF37C7EABDB94697A977C3E7CFC8F2" ma:contentTypeVersion="23" ma:contentTypeDescription="" ma:contentTypeScope="" ma:versionID="a39a00d2af17b8ae8a0ae97d64c04d42">
  <xsd:schema xmlns:xsd="http://www.w3.org/2001/XMLSchema" xmlns:xs="http://www.w3.org/2001/XMLSchema" xmlns:p="http://schemas.microsoft.com/office/2006/metadata/properties" xmlns:ns2="a1af3d24-2c00-4fff-b753-464d92bed99a" xmlns:ns3="c1c9cb1c-19b8-4996-ad50-e0f4a4c9c432" targetNamespace="http://schemas.microsoft.com/office/2006/metadata/properties" ma:root="true" ma:fieldsID="34aec552e6a576196b14dfcd3a7538d0" ns2:_="" ns3:_="">
    <xsd:import namespace="a1af3d24-2c00-4fff-b753-464d92bed99a"/>
    <xsd:import namespace="c1c9cb1c-19b8-4996-ad50-e0f4a4c9c432"/>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fbf315e-f9e4-4b9b-8124-c5ad25a0d72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bf315e-f9e4-4b9b-8124-c5ad25a0d72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c9cb1c-19b8-4996-ad50-e0f4a4c9c43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Information, analysis and knowledge development:Information ＆ documentation system</TermName>
          <TermId xmlns="http://schemas.microsoft.com/office/infopath/2007/PartnerControls">ce161fd0-8c0d-48c4-8073-07b8cadaebd1</TermId>
        </TermInfo>
      </Terms>
    </o8afd3c3b2c14229af30eb97d0576c14>
    <TaxCatchAll xmlns="a1af3d24-2c00-4fff-b753-464d92bed99a">
      <Value>3</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false</_dlc_DocIdPersistId>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EASO2021-23779149-68623</_dlc_DocId>
    <_dlc_DocIdUrl xmlns="a1af3d24-2c00-4fff-b753-464d92bed99a">
      <Url>https://easo.sharepoint.com/sites/sa/_layouts/15/DocIdRedir.aspx?ID=EASO2021-23779149-68623</Url>
      <Description>EASO2021-23779149-68623</Description>
    </_dlc_DocIdUrl>
  </documentManagement>
</p:properties>
</file>

<file path=customXml/itemProps1.xml><?xml version="1.0" encoding="utf-8"?>
<ds:datastoreItem xmlns:ds="http://schemas.openxmlformats.org/officeDocument/2006/customXml" ds:itemID="{B98DC5C3-B142-4DBD-9DE6-3AFB37C1FB39}">
  <ds:schemaRefs>
    <ds:schemaRef ds:uri="http://schemas.openxmlformats.org/officeDocument/2006/bibliography"/>
  </ds:schemaRefs>
</ds:datastoreItem>
</file>

<file path=customXml/itemProps2.xml><?xml version="1.0" encoding="utf-8"?>
<ds:datastoreItem xmlns:ds="http://schemas.openxmlformats.org/officeDocument/2006/customXml" ds:itemID="{DD10E8F5-F4F4-461B-BA2C-988AAA56E9D4}"/>
</file>

<file path=customXml/itemProps3.xml><?xml version="1.0" encoding="utf-8"?>
<ds:datastoreItem xmlns:ds="http://schemas.openxmlformats.org/officeDocument/2006/customXml" ds:itemID="{937F9F2F-C384-43FF-87D1-1CA09DA012A6}"/>
</file>

<file path=customXml/itemProps4.xml><?xml version="1.0" encoding="utf-8"?>
<ds:datastoreItem xmlns:ds="http://schemas.openxmlformats.org/officeDocument/2006/customXml" ds:itemID="{4B86B68B-EDD3-4AD9-86B6-2C1AD0FE316E}"/>
</file>

<file path=customXml/itemProps5.xml><?xml version="1.0" encoding="utf-8"?>
<ds:datastoreItem xmlns:ds="http://schemas.openxmlformats.org/officeDocument/2006/customXml" ds:itemID="{109A96F8-42A2-484D-B99A-7470F6B8AB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Asylum Support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Gatsias, Athanasios</dc:creator>
  <cp:keywords/>
  <cp:lastModifiedBy>Gatsias, Athanasios</cp:lastModifiedBy>
  <cp:revision>3</cp:revision>
  <dcterms:created xsi:type="dcterms:W3CDTF">2021-03-10T15:55:00Z</dcterms:created>
  <dcterms:modified xsi:type="dcterms:W3CDTF">2021-04-28T14:00:16Z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0x010100627147F146C0AB4C96FB1263775BA7FD00DDFF37C7EABDB94697A977C3E7CFC8F2</vt:lpwstr>
  </property>
  <property fmtid="{D5CDD505-2E9C-101B-9397-08002B2CF9AE}" pid="3" name="easoBusinessClassification">
    <vt:lpwstr>3;#Information, analysis and knowledge development:Information ＆ documentation system|ce161fd0-8c0d-48c4-8073-07b8cadaebd1</vt:lpwstr>
  </property>
  <property fmtid="{D5CDD505-2E9C-101B-9397-08002B2CF9AE}" pid="4" name="easoSecurityClassification">
    <vt:lpwstr>1;#Internal|d0063956-0b9b-4740-b4be-2689507f2aae</vt:lpwstr>
  </property>
  <property fmtid="{D5CDD505-2E9C-101B-9397-08002B2CF9AE}" pid="5" name="easoDocumentLanguage">
    <vt:lpwstr>2;#English|532fa66a-4cdf-4129-bab9-a1f47b418755</vt:lpwstr>
  </property>
  <property fmtid="{D5CDD505-2E9C-101B-9397-08002B2CF9AE}" pid="6" name="_dlc_DocIdItemGuid">
    <vt:lpwstr>8b1628ca-ed5d-42b8-bb1b-e090d5fb22e1</vt:lpwstr>
  </property>
  <property fmtid="{D5CDD505-2E9C-101B-9397-08002B2CF9AE}" pid="7" name="easoSeries1">
    <vt:lpwstr/>
  </property>
  <property fmtid="{D5CDD505-2E9C-101B-9397-08002B2CF9AE}" pid="8" name="Order">
    <vt:r8>6871300</vt:r8>
  </property>
  <property fmtid="{D5CDD505-2E9C-101B-9397-08002B2CF9AE}" pid="9" name="p96fb03dbcf94747b8ec018a65a2d03d">
    <vt:lpwstr/>
  </property>
  <property fmtid="{D5CDD505-2E9C-101B-9397-08002B2CF9AE}" pid="10" name="AlternateThumbnailUrl">
    <vt:lpwstr/>
  </property>
  <property fmtid="{D5CDD505-2E9C-101B-9397-08002B2CF9AE}" pid="11" name="URL">
    <vt:lpwstr/>
  </property>
  <property fmtid="{D5CDD505-2E9C-101B-9397-08002B2CF9AE}" pid="12" name="xd_Signature">
    <vt:bool>false</vt:bool>
  </property>
  <property fmtid="{D5CDD505-2E9C-101B-9397-08002B2CF9AE}" pid="13" name="DocumentSetDescription">
    <vt:lpwstr>This is the input we received from CSOs through the EU Survey Form</vt:lpwstr>
  </property>
  <property fmtid="{D5CDD505-2E9C-101B-9397-08002B2CF9AE}" pid="14" name="xd_ProgID">
    <vt:lpwstr/>
  </property>
  <property fmtid="{D5CDD505-2E9C-101B-9397-08002B2CF9AE}" pid="15" name="easoDocumentCoverage">
    <vt:lpwstr/>
  </property>
  <property fmtid="{D5CDD505-2E9C-101B-9397-08002B2CF9AE}" pid="16" name="_SourceUrl">
    <vt:lpwstr/>
  </property>
  <property fmtid="{D5CDD505-2E9C-101B-9397-08002B2CF9AE}" pid="17" name="_SharedFileIndex">
    <vt:lpwstr/>
  </property>
  <property fmtid="{D5CDD505-2E9C-101B-9397-08002B2CF9AE}" pid="18" name="_Publisher">
    <vt:lpwstr/>
  </property>
  <property fmtid="{D5CDD505-2E9C-101B-9397-08002B2CF9AE}" pid="19" name="ComplianceAssetId">
    <vt:lpwstr/>
  </property>
  <property fmtid="{D5CDD505-2E9C-101B-9397-08002B2CF9AE}" pid="20" name="TemplateUrl">
    <vt:lpwstr/>
  </property>
  <property fmtid="{D5CDD505-2E9C-101B-9397-08002B2CF9AE}" pid="21" name="easoResponsible">
    <vt:lpwstr/>
  </property>
  <property fmtid="{D5CDD505-2E9C-101B-9397-08002B2CF9AE}" pid="22" name="vti_imgdate">
    <vt:lpwstr/>
  </property>
  <property fmtid="{D5CDD505-2E9C-101B-9397-08002B2CF9AE}" pid="24" name="_ExtendedDescription">
    <vt:lpwstr/>
  </property>
  <property fmtid="{D5CDD505-2E9C-101B-9397-08002B2CF9AE}" pid="25" name="easoISBNISNN1">
    <vt:lpwstr/>
  </property>
  <property fmtid="{D5CDD505-2E9C-101B-9397-08002B2CF9AE}" pid="26" name="Comments">
    <vt:lpwstr/>
  </property>
</Properties>
</file>