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E67BB" w14:textId="77777777" w:rsidR="001A0A33" w:rsidRDefault="00CF13F8">
      <w:pPr>
        <w:pStyle w:val="NoSpacing"/>
        <w:jc w:val="center"/>
        <w:rPr>
          <w:b/>
          <w:bCs/>
          <w:sz w:val="48"/>
          <w:szCs w:val="48"/>
        </w:rPr>
      </w:pPr>
      <w:r>
        <w:rPr>
          <w:b/>
          <w:bCs/>
          <w:sz w:val="48"/>
          <w:szCs w:val="48"/>
        </w:rPr>
        <w:t xml:space="preserve">Input by civil society to the </w:t>
      </w:r>
    </w:p>
    <w:p w14:paraId="00CE3A71" w14:textId="77777777" w:rsidR="001A0A33" w:rsidRDefault="00CF13F8">
      <w:pPr>
        <w:pStyle w:val="NoSpacing"/>
        <w:jc w:val="center"/>
        <w:rPr>
          <w:b/>
          <w:bCs/>
          <w:sz w:val="48"/>
          <w:szCs w:val="48"/>
        </w:rPr>
      </w:pPr>
      <w:r>
        <w:rPr>
          <w:b/>
          <w:bCs/>
          <w:sz w:val="48"/>
          <w:szCs w:val="48"/>
        </w:rPr>
        <w:t>2021 EASO Asylum Report</w:t>
      </w:r>
    </w:p>
    <w:p w14:paraId="02A4BBCC" w14:textId="77777777" w:rsidR="001A0A33" w:rsidRDefault="001A0A33">
      <w:pPr>
        <w:pStyle w:val="NoSpacing"/>
        <w:jc w:val="center"/>
        <w:rPr>
          <w:rFonts w:ascii="Arial Unicode MS" w:hAnsi="Arial Unicode MS"/>
          <w:color w:val="333333"/>
          <w:w w:val="105"/>
          <w:sz w:val="19"/>
        </w:rPr>
      </w:pPr>
    </w:p>
    <w:p w14:paraId="04C5442D" w14:textId="77777777" w:rsidR="001A0A33" w:rsidRDefault="001A0A33">
      <w:pPr>
        <w:pStyle w:val="NoSpacing"/>
        <w:jc w:val="center"/>
        <w:rPr>
          <w:rFonts w:ascii="Arial Unicode MS" w:hAnsi="Arial Unicode MS"/>
          <w:color w:val="333333"/>
          <w:w w:val="105"/>
          <w:sz w:val="19"/>
        </w:rPr>
      </w:pPr>
    </w:p>
    <w:p w14:paraId="1ED520C4" w14:textId="77777777" w:rsidR="001A0A33" w:rsidRDefault="00CF13F8">
      <w:pPr>
        <w:pStyle w:val="NoSpacing"/>
        <w:jc w:val="both"/>
      </w:pPr>
      <w:r>
        <w:t>Dear Colleagues,</w:t>
      </w:r>
    </w:p>
    <w:p w14:paraId="7156C30F" w14:textId="77777777" w:rsidR="001A0A33" w:rsidRDefault="00CF13F8">
      <w:pPr>
        <w:pStyle w:val="NoSpacing"/>
        <w:jc w:val="both"/>
      </w:pPr>
      <w:r>
        <w:br/>
        <w:t>The production of the </w:t>
      </w:r>
      <w:r>
        <w:rPr>
          <w:i/>
          <w:iCs/>
        </w:rPr>
        <w:t>EASO Asylum Report 2021</w:t>
      </w:r>
      <w:r>
        <w:t> is currently underway. The annual </w:t>
      </w:r>
      <w:hyperlink r:id="rId8" w:tgtFrame="_blank">
        <w:r>
          <w:rPr>
            <w:rStyle w:val="czeinternetowe"/>
          </w:rPr>
          <w:t>Asylum Report series</w:t>
        </w:r>
      </w:hyperlink>
      <w:r>
        <w:t> present a comprehensive overview of developments in the field of asylum at the regional and national levels. </w:t>
      </w:r>
    </w:p>
    <w:p w14:paraId="2885FE9A" w14:textId="77777777" w:rsidR="001A0A33" w:rsidRDefault="00CF13F8">
      <w:pPr>
        <w:pStyle w:val="NoSpacing"/>
        <w:jc w:val="both"/>
      </w:pPr>
      <w:r>
        <w:br/>
        <w:t>The report includes information and perspectives from various stakeholders, including experts from EU+ countries, civil society organisations, UNHCR and researchers. To this end, we invite you, our partners from civil society, academia and research institutions, to share with us your reporting on developments in asylum law, policy or practice in 2020 (and early 2021) by topic as presented in the online survey.</w:t>
      </w:r>
    </w:p>
    <w:p w14:paraId="37852001" w14:textId="77777777" w:rsidR="001A0A33" w:rsidRDefault="00CF13F8">
      <w:pPr>
        <w:pStyle w:val="NoSpacing"/>
        <w:jc w:val="both"/>
      </w:pPr>
      <w:r>
        <w:br/>
        <w:t>Please note that the EASO Asylum Report does not seek to describe national systems in detail but rather to present key developments of the past year, including improvements and challenges which remain. Your input can cover practices of a specific EU+ country or the EU as a whole. You can complete all or only some of the sections.</w:t>
      </w:r>
    </w:p>
    <w:p w14:paraId="092999D6" w14:textId="77777777" w:rsidR="001A0A33" w:rsidRDefault="00CF13F8">
      <w:pPr>
        <w:pStyle w:val="NoSpacing"/>
        <w:jc w:val="both"/>
      </w:pPr>
      <w:r>
        <w:br/>
        <w:t>All submissions are publicly accessible. For transparency, 2021 contributions will be published on the EASO webpage. Contributions to the 2020 EASO Asylum Report by civil society organisations can be accessed </w:t>
      </w:r>
      <w:hyperlink r:id="rId9" w:tgtFrame="_blank">
        <w:r>
          <w:rPr>
            <w:rStyle w:val="czeinternetowe"/>
          </w:rPr>
          <w:t>here</w:t>
        </w:r>
      </w:hyperlink>
      <w:r>
        <w:t xml:space="preserve">, under 'Acknowledgements'. All contributions should be appropriately referenced. You may include links to supporting material, such as analytical studies, articles, reports, websites, press releases or position papers. If your organisation does not produce any publications, please </w:t>
      </w:r>
      <w:proofErr w:type="gramStart"/>
      <w:r>
        <w:t>make reference</w:t>
      </w:r>
      <w:proofErr w:type="gramEnd"/>
      <w:r>
        <w:t xml:space="preserve"> to other published materials, such as joint statements issued with other organisations. Some sources of information may be in a language other than English. In this case, please cite the original language and, if possible, provide one to two sentences describing the key messages in English.</w:t>
      </w:r>
    </w:p>
    <w:p w14:paraId="1BFF678F" w14:textId="77777777" w:rsidR="001A0A33" w:rsidRDefault="00CF13F8">
      <w:pPr>
        <w:pStyle w:val="NoSpacing"/>
        <w:jc w:val="both"/>
      </w:pPr>
      <w:r>
        <w:br/>
        <w:t>The content of the EASO Asylum Report is subject to terms of reference and volume limitations. Contributions from civil society organisations feed into EASO’s work in multiple ways and inform reports and analyses beyond the Asylum Report. </w:t>
      </w:r>
    </w:p>
    <w:p w14:paraId="303490FF" w14:textId="77777777" w:rsidR="001A0A33" w:rsidRDefault="00CF13F8">
      <w:pPr>
        <w:pStyle w:val="NoSpacing"/>
        <w:jc w:val="both"/>
      </w:pPr>
      <w:r>
        <w:br/>
        <w:t>Your input matters to us and will be much appreciated!</w:t>
      </w:r>
    </w:p>
    <w:p w14:paraId="6BAB5B61" w14:textId="77777777" w:rsidR="001A0A33" w:rsidRDefault="00CF13F8">
      <w:pPr>
        <w:pStyle w:val="NoSpacing"/>
        <w:jc w:val="both"/>
        <w:rPr>
          <w:i/>
          <w:iCs/>
        </w:rPr>
      </w:pPr>
      <w:r>
        <w:br/>
      </w:r>
      <w:r>
        <w:rPr>
          <w:b/>
          <w:bCs/>
        </w:rPr>
        <w:t xml:space="preserve">Nina </w:t>
      </w:r>
      <w:proofErr w:type="spellStart"/>
      <w:r>
        <w:rPr>
          <w:b/>
          <w:bCs/>
        </w:rPr>
        <w:t>Gregori</w:t>
      </w:r>
      <w:proofErr w:type="spellEnd"/>
      <w:r>
        <w:t> -</w:t>
      </w:r>
      <w:r>
        <w:rPr>
          <w:i/>
          <w:iCs/>
        </w:rPr>
        <w:t>EASO Executive Director</w:t>
      </w:r>
    </w:p>
    <w:p w14:paraId="27DD82CA" w14:textId="77777777" w:rsidR="001A0A33" w:rsidRDefault="001A0A33">
      <w:pPr>
        <w:pStyle w:val="NoSpacing"/>
        <w:jc w:val="both"/>
        <w:rPr>
          <w:b/>
          <w:bCs/>
        </w:rPr>
      </w:pPr>
    </w:p>
    <w:p w14:paraId="77EF3E3F" w14:textId="77777777" w:rsidR="001A0A33" w:rsidRDefault="00CF13F8">
      <w:pPr>
        <w:pStyle w:val="NoSpacing"/>
        <w:jc w:val="both"/>
      </w:pPr>
      <w:r>
        <w:rPr>
          <w:b/>
          <w:bCs/>
        </w:rPr>
        <w:br/>
        <w:t>*</w:t>
      </w:r>
      <w:r>
        <w:t>Please complete the online survey and submit your contribution to the 2021 EASO Asylum Report by </w:t>
      </w:r>
      <w:r>
        <w:rPr>
          <w:b/>
          <w:bCs/>
          <w:color w:val="FF0000"/>
        </w:rPr>
        <w:t xml:space="preserve">Thursday, 25 February </w:t>
      </w:r>
      <w:proofErr w:type="gramStart"/>
      <w:r>
        <w:rPr>
          <w:b/>
          <w:bCs/>
          <w:color w:val="FF0000"/>
        </w:rPr>
        <w:t>2021</w:t>
      </w:r>
      <w:r>
        <w:rPr>
          <w:b/>
          <w:bCs/>
        </w:rPr>
        <w:t>.*</w:t>
      </w:r>
      <w:proofErr w:type="gramEnd"/>
    </w:p>
    <w:p w14:paraId="3033DFF0" w14:textId="77777777" w:rsidR="001A0A33" w:rsidRDefault="001A0A33">
      <w:pPr>
        <w:pStyle w:val="NoSpacing"/>
      </w:pPr>
    </w:p>
    <w:p w14:paraId="5122C723" w14:textId="77777777" w:rsidR="001A0A33" w:rsidRDefault="001A0A33">
      <w:pPr>
        <w:pStyle w:val="NoSpacing"/>
      </w:pPr>
    </w:p>
    <w:p w14:paraId="3E3E7876" w14:textId="77777777" w:rsidR="001A0A33" w:rsidRDefault="001A0A33">
      <w:pPr>
        <w:pStyle w:val="NoSpacing"/>
      </w:pPr>
    </w:p>
    <w:p w14:paraId="7DA00C2C" w14:textId="77777777" w:rsidR="001A0A33" w:rsidRDefault="001A0A33">
      <w:pPr>
        <w:pStyle w:val="NoSpacing"/>
      </w:pPr>
    </w:p>
    <w:p w14:paraId="7FFFF4DC" w14:textId="77777777" w:rsidR="001A0A33" w:rsidRDefault="001A0A33">
      <w:pPr>
        <w:pStyle w:val="NoSpacing"/>
      </w:pPr>
    </w:p>
    <w:p w14:paraId="196185F3" w14:textId="77777777" w:rsidR="001A0A33" w:rsidRDefault="001A0A33">
      <w:pPr>
        <w:pStyle w:val="NoSpacing"/>
      </w:pPr>
    </w:p>
    <w:p w14:paraId="4D5C6FA7" w14:textId="77777777" w:rsidR="001A0A33" w:rsidRDefault="001A0A33">
      <w:pPr>
        <w:pStyle w:val="NoSpacing"/>
      </w:pPr>
    </w:p>
    <w:p w14:paraId="6E34323B" w14:textId="77777777" w:rsidR="001A0A33" w:rsidRDefault="001A0A33">
      <w:pPr>
        <w:pStyle w:val="NoSpacing"/>
      </w:pPr>
    </w:p>
    <w:p w14:paraId="6377F618" w14:textId="77777777" w:rsidR="001A0A33" w:rsidRDefault="001A0A33">
      <w:pPr>
        <w:pStyle w:val="NoSpacing"/>
      </w:pPr>
    </w:p>
    <w:p w14:paraId="0C28EFE2" w14:textId="77777777" w:rsidR="001A0A33" w:rsidRDefault="00CF13F8">
      <w:pPr>
        <w:pStyle w:val="Heading1"/>
      </w:pPr>
      <w:r>
        <w:rPr>
          <w:noProof/>
          <w:lang w:val="pl-PL" w:eastAsia="pl-PL"/>
        </w:rPr>
        <mc:AlternateContent>
          <mc:Choice Requires="wps">
            <w:drawing>
              <wp:anchor distT="0" distB="0" distL="0" distR="0" simplePos="0" relativeHeight="2" behindDoc="0" locked="0" layoutInCell="0" allowOverlap="1" wp14:anchorId="0C5DE916" wp14:editId="09C39EB4">
                <wp:simplePos x="0" y="0"/>
                <wp:positionH relativeFrom="page">
                  <wp:posOffset>695325</wp:posOffset>
                </wp:positionH>
                <wp:positionV relativeFrom="paragraph">
                  <wp:posOffset>327660</wp:posOffset>
                </wp:positionV>
                <wp:extent cx="6382385" cy="635"/>
                <wp:effectExtent l="9525" t="14605" r="9525" b="13970"/>
                <wp:wrapNone/>
                <wp:docPr id="1" name="Straight Connector 1"/>
                <wp:cNvGraphicFramePr/>
                <a:graphic xmlns:a="http://schemas.openxmlformats.org/drawingml/2006/main">
                  <a:graphicData uri="http://schemas.microsoft.com/office/word/2010/wordprocessingShape">
                    <wps:wsp>
                      <wps:cNvCnPr/>
                      <wps:spPr>
                        <a:xfrm>
                          <a:off x="0" y="0"/>
                          <a:ext cx="6381720" cy="0"/>
                        </a:xfrm>
                        <a:prstGeom prst="line">
                          <a:avLst/>
                        </a:prstGeom>
                        <a:ln w="19050">
                          <a:solidFill>
                            <a:srgbClr val="004E98"/>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4.75pt,25.8pt" to="557.2pt,25.8pt" ID="Straight Connector 1" stroked="t" style="position:absolute;mso-position-horizontal-relative:page" wp14:anchorId="03915B09">
                <v:stroke color="#004e98" weight="19080" joinstyle="round" endcap="flat"/>
                <v:fill o:detectmouseclick="t" on="false"/>
                <w10:wrap type="none"/>
              </v:line>
            </w:pict>
          </mc:Fallback>
        </mc:AlternateContent>
      </w:r>
      <w:r>
        <w:rPr>
          <w:color w:val="004E98"/>
        </w:rPr>
        <w:t>Instructions</w:t>
      </w:r>
    </w:p>
    <w:p w14:paraId="19875991" w14:textId="77777777" w:rsidR="001A0A33" w:rsidRDefault="001A0A33">
      <w:pPr>
        <w:pStyle w:val="NoSpacing"/>
      </w:pPr>
    </w:p>
    <w:p w14:paraId="7883C672" w14:textId="77777777" w:rsidR="001A0A33" w:rsidRDefault="00CF13F8">
      <w:pPr>
        <w:pStyle w:val="NoSpacing"/>
        <w:jc w:val="both"/>
      </w:pPr>
      <w:r>
        <w:t>Before completing the survey, please review the list of topics and types of information that should be included in your submission.</w:t>
      </w:r>
    </w:p>
    <w:p w14:paraId="7260FB26" w14:textId="77777777" w:rsidR="001A0A33" w:rsidRDefault="00CF13F8">
      <w:pPr>
        <w:pStyle w:val="NoSpacing"/>
        <w:jc w:val="both"/>
      </w:pPr>
      <w:r>
        <w:t xml:space="preserve"> </w:t>
      </w:r>
    </w:p>
    <w:p w14:paraId="0D8FC4D6" w14:textId="77777777" w:rsidR="001A0A33" w:rsidRDefault="00CF13F8">
      <w:pPr>
        <w:pStyle w:val="NoSpacing"/>
        <w:jc w:val="both"/>
      </w:pPr>
      <w:r>
        <w:t xml:space="preserve">For each response, </w:t>
      </w:r>
      <w:r>
        <w:rPr>
          <w:u w:val="single"/>
        </w:rPr>
        <w:t>only</w:t>
      </w:r>
      <w:r>
        <w:t xml:space="preserve"> include the following type of information:</w:t>
      </w:r>
    </w:p>
    <w:p w14:paraId="5F7F0C19" w14:textId="77777777" w:rsidR="001A0A33" w:rsidRDefault="00CF13F8">
      <w:pPr>
        <w:pStyle w:val="NoSpacing"/>
        <w:jc w:val="both"/>
      </w:pPr>
      <w:r>
        <w:t xml:space="preserve"> </w:t>
      </w:r>
    </w:p>
    <w:p w14:paraId="28000A6D" w14:textId="77777777" w:rsidR="001A0A33" w:rsidRDefault="00CF13F8">
      <w:pPr>
        <w:pStyle w:val="NoSpacing"/>
        <w:numPr>
          <w:ilvl w:val="0"/>
          <w:numId w:val="1"/>
        </w:numPr>
        <w:jc w:val="both"/>
      </w:pPr>
      <w:r>
        <w:t>New developments and improvements in 2020 and new or remaining challenges; and</w:t>
      </w:r>
    </w:p>
    <w:p w14:paraId="249CCE4B" w14:textId="77777777" w:rsidR="001A0A33" w:rsidRDefault="00CF13F8">
      <w:pPr>
        <w:pStyle w:val="NoSpacing"/>
        <w:numPr>
          <w:ilvl w:val="0"/>
          <w:numId w:val="1"/>
        </w:numPr>
        <w:jc w:val="both"/>
      </w:pPr>
      <w:r>
        <w:t>Changes in policies or practices, transposition of legislation or institutional changes during 2020.</w:t>
      </w:r>
    </w:p>
    <w:p w14:paraId="2EA2CCCB" w14:textId="77777777" w:rsidR="001A0A33" w:rsidRDefault="001A0A33">
      <w:pPr>
        <w:pStyle w:val="NoSpacing"/>
        <w:jc w:val="both"/>
      </w:pPr>
    </w:p>
    <w:p w14:paraId="36974E68" w14:textId="77777777" w:rsidR="001A0A33" w:rsidRDefault="001A0A33">
      <w:pPr>
        <w:pStyle w:val="NoSpacing"/>
      </w:pPr>
    </w:p>
    <w:p w14:paraId="65A7AA45" w14:textId="77777777" w:rsidR="001A0A33" w:rsidRDefault="00CF13F8">
      <w:pPr>
        <w:pStyle w:val="NoSpacing"/>
        <w:jc w:val="both"/>
      </w:pPr>
      <w:r>
        <w:rPr>
          <w:lang w:val="en-US"/>
        </w:rPr>
        <w:t xml:space="preserve">Please ensure that your responses remain within the scope of each section. </w:t>
      </w:r>
      <w:r>
        <w:rPr>
          <w:u w:val="single"/>
          <w:lang w:val="en-US"/>
        </w:rPr>
        <w:t>Do not include information that</w:t>
      </w:r>
      <w:r>
        <w:rPr>
          <w:lang w:val="en-US"/>
        </w:rPr>
        <w:t xml:space="preserve"> </w:t>
      </w:r>
      <w:r>
        <w:rPr>
          <w:u w:val="single"/>
          <w:lang w:val="en-US"/>
        </w:rPr>
        <w:t>goes beyond the thematic focus of each section or is not related to recent developments</w:t>
      </w:r>
    </w:p>
    <w:p w14:paraId="6C3C05A3" w14:textId="77777777" w:rsidR="001A0A33" w:rsidRDefault="001A0A33">
      <w:pPr>
        <w:pStyle w:val="NoSpacing"/>
      </w:pPr>
    </w:p>
    <w:p w14:paraId="55B11F9F" w14:textId="77777777" w:rsidR="001A0A33" w:rsidRDefault="001A0A33">
      <w:pPr>
        <w:pStyle w:val="NoSpacing"/>
      </w:pPr>
    </w:p>
    <w:p w14:paraId="0716F5B3" w14:textId="77777777" w:rsidR="001A0A33" w:rsidRDefault="001A0A33">
      <w:pPr>
        <w:pStyle w:val="NoSpacing"/>
      </w:pPr>
    </w:p>
    <w:p w14:paraId="16DC8CD3" w14:textId="77777777" w:rsidR="001A0A33" w:rsidRDefault="00CF13F8">
      <w:pPr>
        <w:pStyle w:val="Heading1"/>
      </w:pPr>
      <w:r>
        <w:rPr>
          <w:noProof/>
          <w:lang w:val="pl-PL" w:eastAsia="pl-PL"/>
        </w:rPr>
        <mc:AlternateContent>
          <mc:Choice Requires="wps">
            <w:drawing>
              <wp:anchor distT="0" distB="0" distL="0" distR="0" simplePos="0" relativeHeight="3" behindDoc="0" locked="0" layoutInCell="0" allowOverlap="1" wp14:anchorId="30AC0B3A" wp14:editId="53376D83">
                <wp:simplePos x="0" y="0"/>
                <wp:positionH relativeFrom="page">
                  <wp:posOffset>695325</wp:posOffset>
                </wp:positionH>
                <wp:positionV relativeFrom="paragraph">
                  <wp:posOffset>327660</wp:posOffset>
                </wp:positionV>
                <wp:extent cx="6382385" cy="635"/>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381720" cy="0"/>
                        </a:xfrm>
                        <a:prstGeom prst="line">
                          <a:avLst/>
                        </a:prstGeom>
                        <a:ln w="19050">
                          <a:solidFill>
                            <a:srgbClr val="004E98"/>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4.75pt,25.8pt" to="557.2pt,25.8pt" ID="Straight Connector 2" stroked="t" style="position:absolute;mso-position-horizontal-relative:page" wp14:anchorId="7C8119A9">
                <v:stroke color="#004e98" weight="19080" joinstyle="round" endcap="flat"/>
                <v:fill o:detectmouseclick="t" on="false"/>
                <w10:wrap type="none"/>
              </v:line>
            </w:pict>
          </mc:Fallback>
        </mc:AlternateContent>
      </w:r>
      <w:r>
        <w:rPr>
          <w:color w:val="004E98"/>
        </w:rPr>
        <w:t>Contributions by topic</w:t>
      </w:r>
    </w:p>
    <w:p w14:paraId="2613485B" w14:textId="77777777" w:rsidR="001A0A33" w:rsidRDefault="001A0A33">
      <w:pPr>
        <w:pStyle w:val="NoSpacing"/>
      </w:pPr>
    </w:p>
    <w:p w14:paraId="4CCB8C65" w14:textId="77777777" w:rsidR="001A0A33" w:rsidRDefault="00CF13F8">
      <w:pPr>
        <w:pStyle w:val="NoSpacing"/>
        <w:numPr>
          <w:ilvl w:val="0"/>
          <w:numId w:val="2"/>
        </w:numPr>
        <w:jc w:val="both"/>
      </w:pPr>
      <w:r>
        <w:rPr>
          <w:rFonts w:ascii="Arial" w:eastAsia="Arial" w:hAnsi="Arial" w:cs="Arial"/>
          <w:b/>
          <w:color w:val="333399"/>
          <w:sz w:val="21"/>
          <w:lang w:val="en-US"/>
        </w:rPr>
        <w:t xml:space="preserve">Access to territory and access to asylum procedures (including first arrival to territory and registration, arrival at the border, application of the non-refoulement principle, the right to </w:t>
      </w:r>
      <w:r>
        <w:rPr>
          <w:rFonts w:ascii="Arial" w:eastAsia="Arial" w:hAnsi="Arial" w:cs="Arial"/>
          <w:b/>
          <w:color w:val="333399"/>
          <w:spacing w:val="-4"/>
          <w:sz w:val="21"/>
          <w:lang w:val="en-US"/>
        </w:rPr>
        <w:t xml:space="preserve">first </w:t>
      </w:r>
      <w:r>
        <w:rPr>
          <w:rFonts w:ascii="Arial" w:eastAsia="Arial" w:hAnsi="Arial" w:cs="Arial"/>
          <w:b/>
          <w:color w:val="333399"/>
          <w:sz w:val="21"/>
          <w:lang w:val="en-US"/>
        </w:rPr>
        <w:t>response (shelter, food, medical treatment) and issues regarding border guards)</w:t>
      </w:r>
    </w:p>
    <w:p w14:paraId="37D5E784" w14:textId="77777777" w:rsidR="001A0A33" w:rsidRDefault="001A0A33">
      <w:pPr>
        <w:jc w:val="both"/>
        <w:rPr>
          <w:rFonts w:cstheme="minorHAnsi"/>
          <w:lang w:val="en-US"/>
        </w:rPr>
      </w:pPr>
    </w:p>
    <w:p w14:paraId="241F9137" w14:textId="77777777" w:rsidR="001A0A33" w:rsidRDefault="00CF13F8">
      <w:pPr>
        <w:spacing w:after="0" w:line="276" w:lineRule="auto"/>
        <w:jc w:val="both"/>
        <w:rPr>
          <w:rFonts w:cstheme="minorHAnsi"/>
        </w:rPr>
      </w:pPr>
      <w:r>
        <w:rPr>
          <w:rFonts w:cstheme="minorHAnsi"/>
        </w:rPr>
        <w:t xml:space="preserve">Access to asylum procedures in </w:t>
      </w:r>
      <w:r>
        <w:rPr>
          <w:rFonts w:cstheme="minorHAnsi"/>
          <w:b/>
        </w:rPr>
        <w:t>Poland</w:t>
      </w:r>
      <w:r>
        <w:rPr>
          <w:rFonts w:cstheme="minorHAnsi"/>
        </w:rPr>
        <w:t xml:space="preserve"> is still a persisting concern. In July 2020 </w:t>
      </w:r>
      <w:r>
        <w:rPr>
          <w:rFonts w:eastAsia="SimSun" w:cstheme="minorHAnsi"/>
          <w:color w:val="000000"/>
          <w:lang w:eastAsia="pl-PL"/>
        </w:rPr>
        <w:t xml:space="preserve">the European Court of Human Rights (hereinafter: ECtHR) </w:t>
      </w:r>
      <w:r>
        <w:rPr>
          <w:rFonts w:cstheme="minorHAnsi"/>
        </w:rPr>
        <w:t xml:space="preserve">in the ruling </w:t>
      </w:r>
      <w:r>
        <w:rPr>
          <w:rFonts w:cstheme="minorHAnsi"/>
          <w:i/>
          <w:iCs/>
        </w:rPr>
        <w:t xml:space="preserve">M.K. and Others v. Poland </w:t>
      </w:r>
      <w:r>
        <w:rPr>
          <w:rFonts w:cstheme="minorHAnsi"/>
        </w:rPr>
        <w:t>(Application Nos. 40503/17, 42902/17, 43643/17) which became final on 14 December 2020</w:t>
      </w:r>
      <w:r>
        <w:rPr>
          <w:rStyle w:val="Zakotwiczenieprzypisudolnego"/>
          <w:rFonts w:cstheme="minorHAnsi"/>
        </w:rPr>
        <w:footnoteReference w:id="1"/>
      </w:r>
      <w:r>
        <w:rPr>
          <w:rFonts w:cstheme="minorHAnsi"/>
        </w:rPr>
        <w:t xml:space="preserve">, confirmed that persons trying to cross the external border in </w:t>
      </w:r>
      <w:proofErr w:type="spellStart"/>
      <w:r>
        <w:rPr>
          <w:rFonts w:cstheme="minorHAnsi"/>
        </w:rPr>
        <w:t>Terespol</w:t>
      </w:r>
      <w:proofErr w:type="spellEnd"/>
      <w:r>
        <w:rPr>
          <w:rFonts w:cstheme="minorHAnsi"/>
        </w:rPr>
        <w:t xml:space="preserve"> (border between Belarus and Poland) might not be properly identified as persons seeking international protection and might be pushed-back to Belarus in breach of international human rights law. The judgement contains </w:t>
      </w:r>
      <w:r w:rsidR="00106325">
        <w:rPr>
          <w:rFonts w:cstheme="minorHAnsi"/>
        </w:rPr>
        <w:t>a</w:t>
      </w:r>
      <w:r>
        <w:rPr>
          <w:rFonts w:cstheme="minorHAnsi"/>
        </w:rPr>
        <w:t xml:space="preserve"> detailed </w:t>
      </w:r>
      <w:r>
        <w:rPr>
          <w:rFonts w:eastAsia="SimSun" w:cstheme="minorHAnsi"/>
          <w:color w:val="000000"/>
          <w:lang w:eastAsia="pl-PL"/>
        </w:rPr>
        <w:t xml:space="preserve">analysis of the circumstances of the events of pushbacks at the Polish border. The judgement concerns </w:t>
      </w:r>
      <w:r>
        <w:rPr>
          <w:rFonts w:cstheme="minorHAnsi"/>
        </w:rPr>
        <w:t xml:space="preserve">the group of Chechen asylum seekers, who had repeatedly been refused an opportunity to file an application for asylum by the Polish Border Guard. The applicants were among the group of persons who received </w:t>
      </w:r>
      <w:r>
        <w:rPr>
          <w:rFonts w:cstheme="minorHAnsi"/>
          <w:i/>
        </w:rPr>
        <w:t>pro bono</w:t>
      </w:r>
      <w:r>
        <w:rPr>
          <w:rFonts w:cstheme="minorHAnsi"/>
        </w:rPr>
        <w:t xml:space="preserve"> legal assistance at the border crossing with Belarus in </w:t>
      </w:r>
      <w:proofErr w:type="spellStart"/>
      <w:r>
        <w:rPr>
          <w:rFonts w:cstheme="minorHAnsi"/>
        </w:rPr>
        <w:t>Terespol</w:t>
      </w:r>
      <w:proofErr w:type="spellEnd"/>
      <w:r>
        <w:rPr>
          <w:rFonts w:cstheme="minorHAnsi"/>
        </w:rPr>
        <w:t xml:space="preserve"> on 17 March 2017, which was provided by attorneys from the Warsaw Bar Association</w:t>
      </w:r>
      <w:r>
        <w:rPr>
          <w:rStyle w:val="Zakotwiczenieprzypisudolnego"/>
          <w:rFonts w:cstheme="minorHAnsi"/>
        </w:rPr>
        <w:footnoteReference w:id="2"/>
      </w:r>
      <w:r>
        <w:rPr>
          <w:rFonts w:cstheme="minorHAnsi"/>
        </w:rPr>
        <w:t xml:space="preserve"> working with NGOs such as the Helsinki Foundation for Human Rights, Association for Legal Intervention and Brest-based Human Constanta. On that day the applicants, together with fifty other persons represented by the lawyers from Warsaw, were again refused to apply for asylum in Poland. The Court found that – contrary to the claims of Polish authorities – the foreigners had applied for international protection and that these applications were ignored by the Border Guard. The ECtHR further held that the refusals had been a part of consistent practice at the </w:t>
      </w:r>
      <w:proofErr w:type="spellStart"/>
      <w:r>
        <w:rPr>
          <w:rFonts w:cstheme="minorHAnsi"/>
        </w:rPr>
        <w:t>Terespol</w:t>
      </w:r>
      <w:proofErr w:type="spellEnd"/>
      <w:r>
        <w:rPr>
          <w:rFonts w:cstheme="minorHAnsi"/>
        </w:rPr>
        <w:t xml:space="preserve"> border crossing, which was confirmed by sources such as reports of NGOs and </w:t>
      </w:r>
      <w:r>
        <w:rPr>
          <w:rFonts w:cstheme="minorHAnsi"/>
        </w:rPr>
        <w:lastRenderedPageBreak/>
        <w:t xml:space="preserve">Polish Ombudsman. The ECtHR also confirmed the existence of a wider state policy of not accepting asylum applications and of returning individuals seeking such protection to Belarus. </w:t>
      </w:r>
      <w:r>
        <w:rPr>
          <w:rFonts w:eastAsia="Times New Roman" w:cstheme="minorHAnsi"/>
          <w:lang w:eastAsia="pl-PL"/>
        </w:rPr>
        <w:t xml:space="preserve">The applicants were granted </w:t>
      </w:r>
      <w:r>
        <w:rPr>
          <w:rFonts w:eastAsia="Times New Roman" w:cstheme="minorHAnsi"/>
          <w:i/>
          <w:lang w:eastAsia="pl-PL"/>
        </w:rPr>
        <w:t>interim measure</w:t>
      </w:r>
      <w:r>
        <w:rPr>
          <w:rFonts w:eastAsia="Times New Roman" w:cstheme="minorHAnsi"/>
          <w:lang w:eastAsia="pl-PL"/>
        </w:rPr>
        <w:t>, in which the ECtHR prohibited Polish authorities from returning the applicants to Belarus. However, in an unprecedented move, the Polish government decided to ignore the order. The applicants later made several, equally unsuccessful, attempts to apply for international protection. The ECtHR found that Poland had violated the following articles of the European Convention on Human Rights: Article 3 due to the risk that Belorussian authorities may hand over the applicants to Russian authorities, who may have the applicants transferred to Chechnya, from where the applicants fled in fear of torture; Article 4 of Protocol No. 4 - the Court found that Poland had no right to return the applicants to Belarus and that such a practice constituted an element of a wider policy of push-backs conducted by the Polish authorities; Article 13 - which resulted from the fact that decisions refusing entry were immediately enforceable</w:t>
      </w:r>
      <w:r>
        <w:rPr>
          <w:rFonts w:eastAsia="Times New Roman" w:cstheme="minorHAnsi"/>
          <w:bCs/>
          <w:lang w:eastAsia="pl-PL"/>
        </w:rPr>
        <w:t>;</w:t>
      </w:r>
      <w:r>
        <w:rPr>
          <w:rFonts w:eastAsia="Times New Roman" w:cstheme="minorHAnsi"/>
          <w:lang w:eastAsia="pl-PL"/>
        </w:rPr>
        <w:t xml:space="preserve"> Article 34 in conjunction with Rule 39 of the Rules of Court - namely Polish authorities’ refusal to comply with the ECtHR </w:t>
      </w:r>
      <w:r>
        <w:rPr>
          <w:rFonts w:eastAsia="Times New Roman" w:cstheme="minorHAnsi"/>
          <w:i/>
          <w:lang w:eastAsia="pl-PL"/>
        </w:rPr>
        <w:t>interim measure</w:t>
      </w:r>
      <w:r>
        <w:rPr>
          <w:rFonts w:eastAsia="Times New Roman" w:cstheme="minorHAnsi"/>
          <w:lang w:eastAsia="pl-PL"/>
        </w:rPr>
        <w:t xml:space="preserve"> prohibiting the applicant’s return to Belarus and obliging Poland to accept the applicants’ requests for international protection for a proper review. </w:t>
      </w:r>
    </w:p>
    <w:p w14:paraId="6A12B1C9" w14:textId="77777777" w:rsidR="001A0A33" w:rsidRDefault="001A0A33">
      <w:pPr>
        <w:spacing w:line="276" w:lineRule="auto"/>
        <w:contextualSpacing/>
        <w:jc w:val="both"/>
        <w:rPr>
          <w:rFonts w:cstheme="minorHAnsi"/>
        </w:rPr>
      </w:pPr>
    </w:p>
    <w:p w14:paraId="6A3B5ECF" w14:textId="77777777" w:rsidR="001A0A33" w:rsidRDefault="00FF10AE">
      <w:pPr>
        <w:spacing w:line="276" w:lineRule="auto"/>
        <w:contextualSpacing/>
        <w:jc w:val="both"/>
        <w:rPr>
          <w:rFonts w:cstheme="minorHAnsi"/>
        </w:rPr>
      </w:pPr>
      <w:r>
        <w:rPr>
          <w:rFonts w:cstheme="minorHAnsi"/>
        </w:rPr>
        <w:t>A</w:t>
      </w:r>
      <w:r w:rsidR="00CF13F8">
        <w:rPr>
          <w:rFonts w:cstheme="minorHAnsi"/>
        </w:rPr>
        <w:t>nother case on the access to asylum which was communicated to the Polish government on 7 September 2017 (</w:t>
      </w:r>
      <w:r w:rsidR="00CF13F8">
        <w:rPr>
          <w:rFonts w:cstheme="minorHAnsi"/>
          <w:i/>
        </w:rPr>
        <w:t>D.A. and Others v. Poland</w:t>
      </w:r>
      <w:r w:rsidR="00CF13F8">
        <w:rPr>
          <w:rFonts w:cstheme="minorHAnsi"/>
        </w:rPr>
        <w:t xml:space="preserve">, Application No. 51246/17) concerning citizens of Syria who were refused entry to Poland at the </w:t>
      </w:r>
      <w:proofErr w:type="spellStart"/>
      <w:r w:rsidR="00CF13F8">
        <w:rPr>
          <w:rFonts w:cstheme="minorHAnsi"/>
        </w:rPr>
        <w:t>Terespol</w:t>
      </w:r>
      <w:proofErr w:type="spellEnd"/>
      <w:r w:rsidR="00CF13F8">
        <w:rPr>
          <w:rFonts w:cstheme="minorHAnsi"/>
        </w:rPr>
        <w:t xml:space="preserve"> border crossing despite </w:t>
      </w:r>
      <w:r w:rsidR="00CF13F8">
        <w:rPr>
          <w:rFonts w:cstheme="minorHAnsi"/>
          <w:i/>
        </w:rPr>
        <w:t>interim measure</w:t>
      </w:r>
      <w:r w:rsidR="00CF13F8">
        <w:rPr>
          <w:rFonts w:cstheme="minorHAnsi"/>
        </w:rPr>
        <w:t xml:space="preserve"> granted by the ECtHR</w:t>
      </w:r>
      <w:r w:rsidR="00CF13F8">
        <w:rPr>
          <w:rStyle w:val="Zakotwiczenieprzypisudolnego"/>
          <w:rFonts w:cstheme="minorHAnsi"/>
        </w:rPr>
        <w:footnoteReference w:id="3"/>
      </w:r>
      <w:r w:rsidR="00CF13F8">
        <w:rPr>
          <w:rFonts w:cstheme="minorHAnsi"/>
        </w:rPr>
        <w:t xml:space="preserve">. </w:t>
      </w:r>
      <w:r w:rsidR="00106325">
        <w:rPr>
          <w:rFonts w:cstheme="minorHAnsi"/>
        </w:rPr>
        <w:t>One more</w:t>
      </w:r>
      <w:r w:rsidR="00CF13F8">
        <w:rPr>
          <w:rFonts w:cstheme="minorHAnsi"/>
        </w:rPr>
        <w:t xml:space="preserve"> case was communicated on 16 December 2020 (</w:t>
      </w:r>
      <w:r w:rsidR="00CF13F8">
        <w:rPr>
          <w:rFonts w:cstheme="minorHAnsi"/>
          <w:i/>
        </w:rPr>
        <w:t>Jama SHEROV and Others v. Poland,</w:t>
      </w:r>
      <w:r w:rsidR="00CF13F8">
        <w:rPr>
          <w:rFonts w:cstheme="minorHAnsi"/>
        </w:rPr>
        <w:t xml:space="preserve"> Applications Nos. 54029/17, 54117/17, 54128/17, 54255/17).</w:t>
      </w:r>
      <w:r w:rsidR="00CF13F8">
        <w:rPr>
          <w:rStyle w:val="Zakotwiczenieprzypisudolnego"/>
          <w:rFonts w:cstheme="minorHAnsi"/>
        </w:rPr>
        <w:footnoteReference w:id="4"/>
      </w:r>
      <w:r w:rsidR="00CF13F8">
        <w:rPr>
          <w:rFonts w:cstheme="minorHAnsi"/>
        </w:rPr>
        <w:t xml:space="preserve"> The case communicated in 2020 concerns a group of refugees from Tajikistan who at the turn of 2016 and 2017 tried to make applications for international protection at the Polish-Ukrainian border crossing in </w:t>
      </w:r>
      <w:proofErr w:type="spellStart"/>
      <w:r w:rsidR="00CF13F8">
        <w:rPr>
          <w:rFonts w:cstheme="minorHAnsi"/>
        </w:rPr>
        <w:t>Medyka</w:t>
      </w:r>
      <w:proofErr w:type="spellEnd"/>
      <w:r w:rsidR="00CF13F8">
        <w:rPr>
          <w:rFonts w:cstheme="minorHAnsi"/>
        </w:rPr>
        <w:t xml:space="preserve"> but the Polish Border Guard did not accept these applications and the foreigners were returned to Ukraine.</w:t>
      </w:r>
      <w:r w:rsidR="00CF13F8">
        <w:rPr>
          <w:rStyle w:val="Zakotwiczenieprzypisudolnego"/>
          <w:rFonts w:cstheme="minorHAnsi"/>
        </w:rPr>
        <w:footnoteReference w:id="5"/>
      </w:r>
    </w:p>
    <w:p w14:paraId="02B10F88" w14:textId="77777777" w:rsidR="001A0A33" w:rsidRDefault="001A0A33">
      <w:pPr>
        <w:spacing w:after="0" w:line="276" w:lineRule="auto"/>
        <w:jc w:val="both"/>
        <w:rPr>
          <w:rFonts w:cstheme="minorHAnsi"/>
        </w:rPr>
      </w:pPr>
    </w:p>
    <w:p w14:paraId="5DAD9033" w14:textId="77777777" w:rsidR="001A52B6" w:rsidRDefault="00CF13F8">
      <w:pPr>
        <w:spacing w:line="276" w:lineRule="auto"/>
        <w:contextualSpacing/>
        <w:jc w:val="both"/>
        <w:rPr>
          <w:rFonts w:cstheme="minorHAnsi"/>
        </w:rPr>
      </w:pPr>
      <w:r>
        <w:rPr>
          <w:rFonts w:cstheme="minorHAnsi"/>
        </w:rPr>
        <w:t xml:space="preserve">Moreover, it is worth pointing out that in addition to the problems identified above (pushbacks), the COVID-19 epidemic and the restrictions caused by it also contributed to the reduction of the number of asylum applications submitted in Poland in 2020. </w:t>
      </w:r>
    </w:p>
    <w:p w14:paraId="6681CC6B" w14:textId="77777777" w:rsidR="001A52B6" w:rsidRDefault="001A52B6">
      <w:pPr>
        <w:spacing w:line="276" w:lineRule="auto"/>
        <w:contextualSpacing/>
        <w:jc w:val="both"/>
        <w:rPr>
          <w:rFonts w:cstheme="minorHAnsi"/>
        </w:rPr>
      </w:pPr>
    </w:p>
    <w:p w14:paraId="1C8C1830" w14:textId="77777777" w:rsidR="001A0A33" w:rsidRDefault="00CF13F8">
      <w:pPr>
        <w:spacing w:line="276" w:lineRule="auto"/>
        <w:contextualSpacing/>
        <w:jc w:val="both"/>
        <w:rPr>
          <w:rFonts w:cstheme="minorHAnsi"/>
        </w:rPr>
      </w:pPr>
      <w:r>
        <w:rPr>
          <w:rStyle w:val="tlid-translation"/>
          <w:rFonts w:cstheme="minorHAnsi"/>
        </w:rPr>
        <w:t>The Office for Foreigners has suspended</w:t>
      </w:r>
      <w:r>
        <w:rPr>
          <w:rFonts w:cstheme="minorHAnsi"/>
        </w:rPr>
        <w:t xml:space="preserve"> on 16 March 2020</w:t>
      </w:r>
      <w:r>
        <w:rPr>
          <w:rStyle w:val="Zakotwiczenieprzypisudolnego"/>
          <w:rFonts w:cstheme="minorHAnsi"/>
        </w:rPr>
        <w:footnoteReference w:id="6"/>
      </w:r>
      <w:r>
        <w:rPr>
          <w:rFonts w:cstheme="minorHAnsi"/>
        </w:rPr>
        <w:t xml:space="preserve"> direct customer service. Personal visits in the office were possible only in matters ‘absolutely necessary’ and only after a prior telephone appointment. Foreigners were asked to contact the Office for Foreigners in writing (by post and e-mail) or by phone. In the building of the Office for Foreigners in Warsaw, there is also a Border Guard Station, where asylum applications are being submitted, which had a significant impact on access to asylum. The direct customer service was resumed by the Office on 22 May 2020</w:t>
      </w:r>
      <w:r>
        <w:rPr>
          <w:rStyle w:val="Zakotwiczenieprzypisudolnego"/>
          <w:rFonts w:cstheme="minorHAnsi"/>
        </w:rPr>
        <w:footnoteReference w:id="7"/>
      </w:r>
      <w:r>
        <w:rPr>
          <w:rFonts w:cstheme="minorHAnsi"/>
        </w:rPr>
        <w:t xml:space="preserve"> and since then foreigners are served in accordance with the </w:t>
      </w:r>
      <w:r>
        <w:rPr>
          <w:rStyle w:val="Strong"/>
          <w:rFonts w:cstheme="minorHAnsi"/>
          <w:b w:val="0"/>
        </w:rPr>
        <w:t>sanitary rules</w:t>
      </w:r>
      <w:r>
        <w:rPr>
          <w:rFonts w:cstheme="minorHAnsi"/>
        </w:rPr>
        <w:t xml:space="preserve"> resulting from the epidemic status associated with SARS-CoV-2 virus in Poland.</w:t>
      </w:r>
    </w:p>
    <w:p w14:paraId="4588B1D1" w14:textId="77777777" w:rsidR="001A0A33" w:rsidRDefault="001A0A33">
      <w:pPr>
        <w:tabs>
          <w:tab w:val="left" w:pos="5882"/>
        </w:tabs>
        <w:spacing w:line="276" w:lineRule="auto"/>
        <w:contextualSpacing/>
        <w:jc w:val="both"/>
        <w:rPr>
          <w:rFonts w:cstheme="minorHAnsi"/>
        </w:rPr>
      </w:pPr>
    </w:p>
    <w:p w14:paraId="281A8A99" w14:textId="77777777" w:rsidR="001A0A33" w:rsidRDefault="00CF13F8">
      <w:pPr>
        <w:tabs>
          <w:tab w:val="left" w:pos="5882"/>
        </w:tabs>
        <w:spacing w:line="276" w:lineRule="auto"/>
        <w:contextualSpacing/>
        <w:jc w:val="both"/>
        <w:rPr>
          <w:rFonts w:cstheme="minorHAnsi"/>
        </w:rPr>
      </w:pPr>
      <w:r>
        <w:rPr>
          <w:rStyle w:val="tlid-translation"/>
          <w:rFonts w:cstheme="minorHAnsi"/>
        </w:rPr>
        <w:lastRenderedPageBreak/>
        <w:t>What is significant, as a result of the introduction of border restrictions, after 15 March 2020, asylum applications were accepted only in ‘urgent cases at border crossings with authorized border traffic’.</w:t>
      </w:r>
      <w:r>
        <w:rPr>
          <w:rStyle w:val="Zakotwiczenieprzypisudolnego"/>
          <w:rFonts w:cstheme="minorHAnsi"/>
        </w:rPr>
        <w:footnoteReference w:id="8"/>
      </w:r>
      <w:r>
        <w:rPr>
          <w:rStyle w:val="tlid-translation"/>
          <w:rFonts w:cstheme="minorHAnsi"/>
        </w:rPr>
        <w:t xml:space="preserve"> The asylum applications have been registered again from 11 May 2020.</w:t>
      </w:r>
      <w:r>
        <w:rPr>
          <w:rStyle w:val="Zakotwiczenieprzypisudolnego"/>
          <w:rFonts w:cstheme="minorHAnsi"/>
        </w:rPr>
        <w:footnoteReference w:id="9"/>
      </w:r>
      <w:r>
        <w:rPr>
          <w:rStyle w:val="tlid-translation"/>
          <w:rFonts w:cstheme="minorHAnsi"/>
        </w:rPr>
        <w:t xml:space="preserve"> According to the </w:t>
      </w:r>
      <w:r>
        <w:rPr>
          <w:rFonts w:cstheme="minorHAnsi"/>
        </w:rPr>
        <w:t>Border Guard</w:t>
      </w:r>
      <w:r>
        <w:rPr>
          <w:rStyle w:val="tlid-translation"/>
          <w:rFonts w:cstheme="minorHAnsi"/>
        </w:rPr>
        <w:t>,</w:t>
      </w:r>
      <w:r>
        <w:rPr>
          <w:rStyle w:val="Zakotwiczenieprzypisudolnego"/>
          <w:rFonts w:cstheme="minorHAnsi"/>
        </w:rPr>
        <w:footnoteReference w:id="10"/>
      </w:r>
      <w:r>
        <w:rPr>
          <w:rStyle w:val="tlid-translation"/>
          <w:rFonts w:cstheme="minorHAnsi"/>
        </w:rPr>
        <w:t xml:space="preserve"> the border service together with the authority competent for examining asylum claims (the Head of the Office for Foreigners), made every effort to develop the right course of action, so that the fundamental rights of persons seeking asylum on the territory of Poland would be guaranteed.</w:t>
      </w:r>
      <w:r>
        <w:rPr>
          <w:rStyle w:val="Zakotwiczenieprzypisudolnego"/>
          <w:rFonts w:cstheme="minorHAnsi"/>
        </w:rPr>
        <w:footnoteReference w:id="11"/>
      </w:r>
      <w:r>
        <w:rPr>
          <w:rFonts w:cstheme="minorHAnsi"/>
        </w:rPr>
        <w:t xml:space="preserve"> However, the restrictions introduced after 15 March 2020 at border crossings with authorized border traffic - including the suspension of international rail connections - caused a large decrease in the intensity of border traffic.</w:t>
      </w:r>
      <w:r>
        <w:rPr>
          <w:rStyle w:val="Zakotwiczenieprzypisudolnego"/>
          <w:rFonts w:cstheme="minorHAnsi"/>
        </w:rPr>
        <w:footnoteReference w:id="12"/>
      </w:r>
      <w:r>
        <w:rPr>
          <w:rFonts w:cstheme="minorHAnsi"/>
        </w:rPr>
        <w:t xml:space="preserve"> The Polish Ombudsman confirmed that this situation resulted from the fact that many border crossings have been closed, including the rail border crossing in </w:t>
      </w:r>
      <w:proofErr w:type="spellStart"/>
      <w:r>
        <w:rPr>
          <w:rFonts w:cstheme="minorHAnsi"/>
        </w:rPr>
        <w:t>Terespol</w:t>
      </w:r>
      <w:proofErr w:type="spellEnd"/>
      <w:r>
        <w:rPr>
          <w:rFonts w:cstheme="minorHAnsi"/>
        </w:rPr>
        <w:t xml:space="preserve"> most frequently visited by people seeking international protection - it was closed due to the suspension of rail connections.</w:t>
      </w:r>
      <w:r>
        <w:rPr>
          <w:rStyle w:val="Zakotwiczenieprzypisudolnego"/>
          <w:rFonts w:cstheme="minorHAnsi"/>
        </w:rPr>
        <w:footnoteReference w:id="13"/>
      </w:r>
      <w:r>
        <w:rPr>
          <w:rFonts w:cstheme="minorHAnsi"/>
        </w:rPr>
        <w:t xml:space="preserve"> The Ombudsman also stated that the introduction of a pandemic state cannot justify refusing to accept refugees in Poland and pointed out that in </w:t>
      </w:r>
      <w:r>
        <w:rPr>
          <w:rFonts w:cstheme="minorHAnsi"/>
          <w:i/>
        </w:rPr>
        <w:t>the regulation of the Ministry of Interior and Administration of 13 March 2020 on the temporary suspension or limitation of border traffic at specific border crossing points</w:t>
      </w:r>
      <w:r>
        <w:rPr>
          <w:rFonts w:cstheme="minorHAnsi"/>
        </w:rPr>
        <w:t>, persons intending to apply for asylum were not included as persons allowed to enter the Polish territory, making access to the asylum procedure illusory in many cases.</w:t>
      </w:r>
      <w:r>
        <w:rPr>
          <w:rStyle w:val="Zakotwiczenieprzypisudolnego"/>
          <w:rFonts w:cstheme="minorHAnsi"/>
        </w:rPr>
        <w:footnoteReference w:id="14"/>
      </w:r>
      <w:r>
        <w:rPr>
          <w:rFonts w:cstheme="minorHAnsi"/>
        </w:rPr>
        <w:t xml:space="preserve"> In the opinion of the Commission of Experts of the Ombudsman, the lack of effective access to the asylum procedure during a pandemic is a violation of international and national law.</w:t>
      </w:r>
      <w:r>
        <w:rPr>
          <w:rStyle w:val="Zakotwiczenieprzypisudolnego"/>
          <w:rFonts w:cstheme="minorHAnsi"/>
        </w:rPr>
        <w:footnoteReference w:id="15"/>
      </w:r>
      <w:r>
        <w:rPr>
          <w:rFonts w:cstheme="minorHAnsi"/>
        </w:rPr>
        <w:t xml:space="preserve"> </w:t>
      </w:r>
    </w:p>
    <w:p w14:paraId="1D43EA19" w14:textId="77777777" w:rsidR="001A0A33" w:rsidRDefault="001A0A33">
      <w:pPr>
        <w:tabs>
          <w:tab w:val="left" w:pos="709"/>
          <w:tab w:val="left" w:pos="993"/>
        </w:tabs>
        <w:spacing w:line="276" w:lineRule="auto"/>
        <w:contextualSpacing/>
        <w:jc w:val="both"/>
        <w:rPr>
          <w:rFonts w:cstheme="minorHAnsi"/>
        </w:rPr>
      </w:pPr>
    </w:p>
    <w:p w14:paraId="517884BE" w14:textId="77777777" w:rsidR="001A0A33" w:rsidRDefault="00CF13F8">
      <w:pPr>
        <w:tabs>
          <w:tab w:val="left" w:pos="709"/>
          <w:tab w:val="left" w:pos="993"/>
        </w:tabs>
        <w:spacing w:line="276" w:lineRule="auto"/>
        <w:contextualSpacing/>
        <w:jc w:val="both"/>
        <w:rPr>
          <w:rFonts w:cstheme="minorHAnsi"/>
        </w:rPr>
      </w:pPr>
      <w:r>
        <w:rPr>
          <w:rFonts w:cstheme="minorHAnsi"/>
        </w:rPr>
        <w:t xml:space="preserve">The official statistics show that in the second quarter of 2020, no asylum application was lodged in </w:t>
      </w:r>
      <w:proofErr w:type="spellStart"/>
      <w:r>
        <w:rPr>
          <w:rFonts w:cstheme="minorHAnsi"/>
        </w:rPr>
        <w:t>Terespol</w:t>
      </w:r>
      <w:proofErr w:type="spellEnd"/>
      <w:r>
        <w:rPr>
          <w:rFonts w:cstheme="minorHAnsi"/>
        </w:rPr>
        <w:t xml:space="preserve"> border crossing between Belarus and Poland, previo</w:t>
      </w:r>
      <w:r w:rsidR="001A52B6">
        <w:rPr>
          <w:rFonts w:cstheme="minorHAnsi"/>
        </w:rPr>
        <w:t>u</w:t>
      </w:r>
      <w:r>
        <w:rPr>
          <w:rFonts w:cstheme="minorHAnsi"/>
        </w:rPr>
        <w:t xml:space="preserve">sly </w:t>
      </w:r>
      <w:r w:rsidR="001A52B6">
        <w:rPr>
          <w:rFonts w:cstheme="minorHAnsi"/>
        </w:rPr>
        <w:t xml:space="preserve">the </w:t>
      </w:r>
      <w:r>
        <w:rPr>
          <w:rFonts w:cstheme="minorHAnsi"/>
        </w:rPr>
        <w:t>main entry point for the asylum seekers to Poland.</w:t>
      </w:r>
      <w:r>
        <w:rPr>
          <w:rStyle w:val="Zakotwiczenieprzypisudolnego"/>
          <w:rFonts w:cstheme="minorHAnsi"/>
        </w:rPr>
        <w:footnoteReference w:id="16"/>
      </w:r>
    </w:p>
    <w:p w14:paraId="178947B1" w14:textId="77777777" w:rsidR="001A0A33" w:rsidRDefault="001A0A33">
      <w:pPr>
        <w:tabs>
          <w:tab w:val="left" w:pos="709"/>
          <w:tab w:val="left" w:pos="993"/>
        </w:tabs>
        <w:spacing w:line="276" w:lineRule="auto"/>
        <w:contextualSpacing/>
        <w:jc w:val="both"/>
        <w:rPr>
          <w:rFonts w:cstheme="minorHAnsi"/>
        </w:rPr>
      </w:pPr>
    </w:p>
    <w:p w14:paraId="088FFC8A" w14:textId="77777777" w:rsidR="001A0A33" w:rsidRDefault="00CF13F8">
      <w:pPr>
        <w:tabs>
          <w:tab w:val="left" w:pos="709"/>
          <w:tab w:val="left" w:pos="993"/>
        </w:tabs>
        <w:spacing w:line="276" w:lineRule="auto"/>
        <w:contextualSpacing/>
        <w:jc w:val="both"/>
        <w:rPr>
          <w:rStyle w:val="tlid-translation"/>
          <w:rFonts w:cstheme="minorHAnsi"/>
        </w:rPr>
      </w:pPr>
      <w:r>
        <w:rPr>
          <w:rStyle w:val="tlid-translation"/>
          <w:rFonts w:cstheme="minorHAnsi"/>
        </w:rPr>
        <w:t>Nevertheless, during the period when asylum applications were not registered, mostly ‘the declarations of intention to submit the asylum application’</w:t>
      </w:r>
      <w:r>
        <w:rPr>
          <w:rStyle w:val="Zakotwiczenieprzypisudolnego"/>
          <w:rFonts w:cstheme="minorHAnsi"/>
        </w:rPr>
        <w:footnoteReference w:id="17"/>
      </w:r>
      <w:r>
        <w:rPr>
          <w:rStyle w:val="tlid-translation"/>
          <w:rFonts w:cstheme="minorHAnsi"/>
        </w:rPr>
        <w:t xml:space="preserve"> were accepted and registered. Such a declaration may be submitted by e-mail or by post to the nearest Border Guard station.</w:t>
      </w:r>
      <w:r>
        <w:rPr>
          <w:rStyle w:val="Zakotwiczenieprzypisudolnego"/>
          <w:rFonts w:cstheme="minorHAnsi"/>
        </w:rPr>
        <w:footnoteReference w:id="18"/>
      </w:r>
      <w:r>
        <w:rPr>
          <w:rStyle w:val="tlid-translation"/>
          <w:rFonts w:cstheme="minorHAnsi"/>
        </w:rPr>
        <w:t xml:space="preserve"> It is worth mentioning that the persons who ‘declared the intention to submit the asylum application’ </w:t>
      </w:r>
      <w:r>
        <w:rPr>
          <w:rFonts w:cstheme="minorHAnsi"/>
        </w:rPr>
        <w:t>are not covered</w:t>
      </w:r>
      <w:r>
        <w:rPr>
          <w:rStyle w:val="tlid-translation"/>
          <w:rFonts w:cstheme="minorHAnsi"/>
        </w:rPr>
        <w:t xml:space="preserve"> by the medical and social assistance since they are not considered as yet as asylum applicants in the national law</w:t>
      </w:r>
      <w:r w:rsidR="001A52B6">
        <w:rPr>
          <w:rStyle w:val="tlid-translation"/>
          <w:rFonts w:cstheme="minorHAnsi"/>
        </w:rPr>
        <w:t>, contrary to the EU law (A</w:t>
      </w:r>
      <w:r>
        <w:rPr>
          <w:rStyle w:val="tlid-translation"/>
          <w:rFonts w:cstheme="minorHAnsi"/>
        </w:rPr>
        <w:t>rt</w:t>
      </w:r>
      <w:r w:rsidR="001A52B6">
        <w:rPr>
          <w:rStyle w:val="tlid-translation"/>
          <w:rFonts w:cstheme="minorHAnsi"/>
        </w:rPr>
        <w:t>icle</w:t>
      </w:r>
      <w:r>
        <w:rPr>
          <w:rStyle w:val="tlid-translation"/>
          <w:rFonts w:cstheme="minorHAnsi"/>
        </w:rPr>
        <w:t xml:space="preserve"> </w:t>
      </w:r>
      <w:r w:rsidR="001A52B6">
        <w:rPr>
          <w:rStyle w:val="tlid-translation"/>
          <w:rFonts w:cstheme="minorHAnsi"/>
        </w:rPr>
        <w:t>2c and Article</w:t>
      </w:r>
      <w:r>
        <w:rPr>
          <w:rStyle w:val="tlid-translation"/>
          <w:rFonts w:cstheme="minorHAnsi"/>
        </w:rPr>
        <w:t xml:space="preserve"> 6.1 of the recast Procedure Directive </w:t>
      </w:r>
      <w:r>
        <w:rPr>
          <w:rStyle w:val="tlid-translation"/>
          <w:rFonts w:cstheme="minorHAnsi"/>
        </w:rPr>
        <w:lastRenderedPageBreak/>
        <w:t>2013/32).</w:t>
      </w:r>
      <w:r>
        <w:rPr>
          <w:rStyle w:val="Zakotwiczenieprzypisudolnego"/>
          <w:rFonts w:cstheme="minorHAnsi"/>
        </w:rPr>
        <w:footnoteReference w:id="19"/>
      </w:r>
      <w:r>
        <w:rPr>
          <w:rStyle w:val="tlid-translation"/>
          <w:rFonts w:cstheme="minorHAnsi"/>
        </w:rPr>
        <w:t xml:space="preserve"> T</w:t>
      </w:r>
      <w:r>
        <w:rPr>
          <w:rFonts w:cstheme="minorHAnsi"/>
        </w:rPr>
        <w:t xml:space="preserve">he Consortium of Polish NGOs, in the letter to the Minister of Interior and Administration, raised </w:t>
      </w:r>
      <w:r>
        <w:rPr>
          <w:rStyle w:val="tlid-translation"/>
          <w:rFonts w:cstheme="minorHAnsi"/>
        </w:rPr>
        <w:t>the need to include these persons in the social system for asylum seekers.</w:t>
      </w:r>
      <w:r>
        <w:rPr>
          <w:rStyle w:val="Zakotwiczenieprzypisudolnego"/>
          <w:rFonts w:cstheme="minorHAnsi"/>
        </w:rPr>
        <w:footnoteReference w:id="20"/>
      </w:r>
    </w:p>
    <w:p w14:paraId="16D7E632" w14:textId="77777777" w:rsidR="001A0A33" w:rsidRDefault="001A0A33">
      <w:pPr>
        <w:spacing w:after="0" w:line="276" w:lineRule="auto"/>
        <w:jc w:val="both"/>
        <w:rPr>
          <w:rStyle w:val="tlid-translation"/>
          <w:rFonts w:cstheme="minorHAnsi"/>
        </w:rPr>
      </w:pPr>
    </w:p>
    <w:p w14:paraId="73A6B825" w14:textId="77777777" w:rsidR="001A0A33" w:rsidRDefault="00CF13F8">
      <w:pPr>
        <w:spacing w:after="0" w:line="276" w:lineRule="auto"/>
        <w:jc w:val="both"/>
        <w:rPr>
          <w:rFonts w:cstheme="minorHAnsi"/>
        </w:rPr>
      </w:pPr>
      <w:r>
        <w:rPr>
          <w:rFonts w:eastAsia="SimSun" w:cstheme="minorHAnsi"/>
          <w:color w:val="000000"/>
          <w:lang w:eastAsia="pl-PL"/>
        </w:rPr>
        <w:t xml:space="preserve">As a result of the above, </w:t>
      </w:r>
      <w:r>
        <w:rPr>
          <w:rFonts w:cstheme="minorHAnsi"/>
        </w:rPr>
        <w:t>the number of applications for international protection lodged in Poland in 2020 is at the lowest level in years</w:t>
      </w:r>
      <w:r>
        <w:rPr>
          <w:rFonts w:cstheme="minorHAnsi"/>
          <w:b/>
        </w:rPr>
        <w:t>.</w:t>
      </w:r>
      <w:r>
        <w:rPr>
          <w:rStyle w:val="Zakotwiczenieprzypisudolnego"/>
          <w:rFonts w:cstheme="minorHAnsi"/>
        </w:rPr>
        <w:footnoteReference w:id="21"/>
      </w:r>
      <w:r>
        <w:rPr>
          <w:rFonts w:cstheme="minorHAnsi"/>
        </w:rPr>
        <w:t xml:space="preserve"> In 2020, only 1620 applications for international protection (first and subsequent) were submitted which covered 2803 individuals. It is the lowest number since 1999 </w:t>
      </w:r>
      <w:r>
        <w:rPr>
          <w:rStyle w:val="Zakotwiczenieprzypisudolnego"/>
          <w:rFonts w:cstheme="minorHAnsi"/>
        </w:rPr>
        <w:footnoteReference w:id="22"/>
      </w:r>
      <w:r>
        <w:rPr>
          <w:rFonts w:cstheme="minorHAnsi"/>
        </w:rPr>
        <w:t xml:space="preserve"> </w:t>
      </w:r>
      <w:r>
        <w:rPr>
          <w:rStyle w:val="Zakotwiczenieprzypisudolnego"/>
          <w:rFonts w:cstheme="minorHAnsi"/>
        </w:rPr>
        <w:footnoteReference w:id="23"/>
      </w:r>
      <w:r>
        <w:rPr>
          <w:rFonts w:cstheme="minorHAnsi"/>
        </w:rPr>
        <w:t xml:space="preserve"> </w:t>
      </w:r>
      <w:r>
        <w:rPr>
          <w:rStyle w:val="Zakotwiczenieprzypisudolnego"/>
          <w:rFonts w:cstheme="minorHAnsi"/>
        </w:rPr>
        <w:footnoteReference w:id="24"/>
      </w:r>
      <w:r>
        <w:rPr>
          <w:rFonts w:cstheme="minorHAnsi"/>
        </w:rPr>
        <w:t xml:space="preserve"> </w:t>
      </w:r>
      <w:r>
        <w:rPr>
          <w:rStyle w:val="Zakotwiczenieprzypisudolnego"/>
          <w:rFonts w:cstheme="minorHAnsi"/>
        </w:rPr>
        <w:footnoteReference w:id="25"/>
      </w:r>
      <w:r>
        <w:rPr>
          <w:rFonts w:cstheme="minorHAnsi"/>
        </w:rPr>
        <w:t xml:space="preserve"> </w:t>
      </w:r>
      <w:r>
        <w:rPr>
          <w:rStyle w:val="Zakotwiczenieprzypisudolnego"/>
          <w:rFonts w:cstheme="minorHAnsi"/>
        </w:rPr>
        <w:footnoteReference w:id="26"/>
      </w:r>
      <w:r>
        <w:rPr>
          <w:rFonts w:cstheme="minorHAnsi"/>
        </w:rPr>
        <w:t xml:space="preserve">. For </w:t>
      </w:r>
      <w:proofErr w:type="gramStart"/>
      <w:r>
        <w:rPr>
          <w:rFonts w:cstheme="minorHAnsi"/>
        </w:rPr>
        <w:t>example</w:t>
      </w:r>
      <w:proofErr w:type="gramEnd"/>
      <w:r>
        <w:rPr>
          <w:rFonts w:cstheme="minorHAnsi"/>
        </w:rPr>
        <w:t xml:space="preserve"> in the year 2019, 1958 asylum applications (first and subsequent) were registered, which covered 4095 individuals.</w:t>
      </w:r>
      <w:r>
        <w:rPr>
          <w:rStyle w:val="Zakotwiczenieprzypisudolnego"/>
          <w:rFonts w:cstheme="minorHAnsi"/>
        </w:rPr>
        <w:footnoteReference w:id="27"/>
      </w:r>
    </w:p>
    <w:p w14:paraId="5DF3552E" w14:textId="77777777" w:rsidR="001A0A33" w:rsidRDefault="001A0A33">
      <w:pPr>
        <w:spacing w:after="0" w:line="276" w:lineRule="auto"/>
        <w:jc w:val="both"/>
        <w:rPr>
          <w:rFonts w:cstheme="minorHAnsi"/>
        </w:rPr>
      </w:pPr>
    </w:p>
    <w:p w14:paraId="5B17BBB9" w14:textId="77777777" w:rsidR="001A0A33" w:rsidRDefault="00CF13F8">
      <w:pPr>
        <w:spacing w:after="0" w:line="276" w:lineRule="auto"/>
        <w:jc w:val="both"/>
        <w:rPr>
          <w:rFonts w:cstheme="minorHAnsi"/>
        </w:rPr>
      </w:pPr>
      <w:r>
        <w:rPr>
          <w:rFonts w:cstheme="minorHAnsi"/>
        </w:rPr>
        <w:t xml:space="preserve">More information can be found in the ECRE's AIDA Country report on </w:t>
      </w:r>
      <w:r>
        <w:rPr>
          <w:rFonts w:cstheme="minorHAnsi"/>
          <w:b/>
        </w:rPr>
        <w:t>Poland</w:t>
      </w:r>
      <w:r>
        <w:rPr>
          <w:rFonts w:cstheme="minorHAnsi"/>
        </w:rPr>
        <w:t>.</w:t>
      </w:r>
      <w:r>
        <w:rPr>
          <w:rStyle w:val="Zakotwiczenieprzypisudolnego"/>
          <w:rFonts w:cstheme="minorHAnsi"/>
        </w:rPr>
        <w:footnoteReference w:id="28"/>
      </w:r>
    </w:p>
    <w:p w14:paraId="38898545" w14:textId="77777777" w:rsidR="001A0A33" w:rsidRDefault="001A0A33">
      <w:pPr>
        <w:spacing w:after="0" w:line="276" w:lineRule="auto"/>
        <w:jc w:val="both"/>
        <w:rPr>
          <w:lang w:val="en-US"/>
        </w:rPr>
      </w:pPr>
    </w:p>
    <w:p w14:paraId="0ECA7279" w14:textId="77777777" w:rsidR="001A0A33" w:rsidRDefault="00CF13F8">
      <w:pPr>
        <w:pStyle w:val="NoSpacing"/>
        <w:numPr>
          <w:ilvl w:val="0"/>
          <w:numId w:val="2"/>
        </w:numPr>
        <w:jc w:val="both"/>
      </w:pPr>
      <w:r>
        <w:rPr>
          <w:rFonts w:ascii="Arial" w:eastAsia="Arial" w:hAnsi="Arial" w:cs="Arial"/>
          <w:b/>
          <w:color w:val="333399"/>
          <w:sz w:val="21"/>
          <w:lang w:val="en-US"/>
        </w:rPr>
        <w:t>Access to information and legal assistance (including counselling and representation)</w:t>
      </w:r>
    </w:p>
    <w:p w14:paraId="07964D99" w14:textId="77777777" w:rsidR="001A0A33" w:rsidRDefault="001A0A33">
      <w:pPr>
        <w:jc w:val="both"/>
        <w:rPr>
          <w:lang w:val="en-US"/>
        </w:rPr>
      </w:pPr>
    </w:p>
    <w:p w14:paraId="2C2B9E8E" w14:textId="77777777" w:rsidR="001A0A33" w:rsidRDefault="00CF13F8">
      <w:pPr>
        <w:spacing w:line="276" w:lineRule="auto"/>
        <w:jc w:val="both"/>
        <w:rPr>
          <w:rFonts w:cstheme="minorHAnsi"/>
        </w:rPr>
      </w:pPr>
      <w:r>
        <w:rPr>
          <w:rFonts w:cstheme="minorHAnsi"/>
        </w:rPr>
        <w:t xml:space="preserve">In </w:t>
      </w:r>
      <w:r>
        <w:rPr>
          <w:rFonts w:cstheme="minorHAnsi"/>
          <w:b/>
        </w:rPr>
        <w:t>Poland</w:t>
      </w:r>
      <w:r>
        <w:rPr>
          <w:rFonts w:cstheme="minorHAnsi"/>
        </w:rPr>
        <w:t xml:space="preserve">, after the delivery of the </w:t>
      </w:r>
      <w:r>
        <w:rPr>
          <w:rFonts w:cstheme="minorHAnsi"/>
          <w:i/>
          <w:iCs/>
        </w:rPr>
        <w:t>M.K. and Others</w:t>
      </w:r>
      <w:r>
        <w:rPr>
          <w:rFonts w:cstheme="minorHAnsi"/>
        </w:rPr>
        <w:t xml:space="preserve"> ruling</w:t>
      </w:r>
      <w:r>
        <w:rPr>
          <w:rStyle w:val="Zakotwiczenieprzypisudolnego"/>
          <w:rFonts w:cstheme="minorHAnsi"/>
        </w:rPr>
        <w:footnoteReference w:id="29"/>
      </w:r>
      <w:r>
        <w:rPr>
          <w:rFonts w:cstheme="minorHAnsi"/>
        </w:rPr>
        <w:t>, the Minister of Interior and Administration issued the statement, which shows that the challenges and obstacles faced by the NGOs and attorneys regarding the effective access to migrants at the border, in order to ensure their right to seek asylum, are still valid.</w:t>
      </w:r>
      <w:r>
        <w:rPr>
          <w:rStyle w:val="Zakotwiczenieprzypisudolnego"/>
          <w:rFonts w:cstheme="minorHAnsi"/>
        </w:rPr>
        <w:footnoteReference w:id="30"/>
      </w:r>
      <w:r>
        <w:rPr>
          <w:rFonts w:cstheme="minorHAnsi"/>
        </w:rPr>
        <w:t xml:space="preserve"> </w:t>
      </w:r>
    </w:p>
    <w:p w14:paraId="206E7B5D" w14:textId="77777777" w:rsidR="001A0A33" w:rsidRDefault="00CF13F8">
      <w:pPr>
        <w:spacing w:line="276" w:lineRule="auto"/>
        <w:jc w:val="both"/>
        <w:rPr>
          <w:rFonts w:cstheme="minorHAnsi"/>
        </w:rPr>
      </w:pPr>
      <w:r>
        <w:rPr>
          <w:rFonts w:cstheme="minorHAnsi"/>
        </w:rPr>
        <w:t>The Minister, in the answer to one of the MP's question about the violation of the European Convention on Human Rights at the eastern border of Poland, stated t</w:t>
      </w:r>
      <w:r>
        <w:rPr>
          <w:rFonts w:eastAsia="Times New Roman" w:cstheme="minorHAnsi"/>
          <w:lang w:eastAsia="pl-PL"/>
        </w:rPr>
        <w:t xml:space="preserve">hat M.K. and Other applicants had not applied for asylum at the border and had therefore been refused entry. The Minister did not mention that the Court found that the applicants, in this case, had asked for asylum, only their applications had been ignored or that the ECtHR found that the policy of refusing entry at the border was a systemic problem. </w:t>
      </w:r>
      <w:r>
        <w:rPr>
          <w:rFonts w:cstheme="minorHAnsi"/>
        </w:rPr>
        <w:t xml:space="preserve">The Minister also stated that the interviews conducted at the border are documented only by the mean of an official memo drafted by the Border Guards officer. However, the Minister did not mention that such practice was found to be inadequate by the Supreme </w:t>
      </w:r>
      <w:r>
        <w:rPr>
          <w:rFonts w:cstheme="minorHAnsi"/>
        </w:rPr>
        <w:lastRenderedPageBreak/>
        <w:t>Administrative Court in the numerous judgements.</w:t>
      </w:r>
      <w:r>
        <w:rPr>
          <w:rStyle w:val="Zakotwiczenieprzypisudolnego"/>
          <w:rFonts w:cstheme="minorHAnsi"/>
        </w:rPr>
        <w:footnoteReference w:id="31"/>
      </w:r>
      <w:r>
        <w:rPr>
          <w:rFonts w:cstheme="minorHAnsi"/>
        </w:rPr>
        <w:t xml:space="preserve"> The Minister stated that </w:t>
      </w:r>
      <w:r>
        <w:rPr>
          <w:rFonts w:cstheme="minorHAnsi"/>
          <w:i/>
        </w:rPr>
        <w:t xml:space="preserve">interim measure </w:t>
      </w:r>
      <w:r>
        <w:rPr>
          <w:rFonts w:cstheme="minorHAnsi"/>
        </w:rPr>
        <w:t>is not a basis for allowing a foreigner to enter the territory or for accepting his or her asylum application.</w:t>
      </w:r>
      <w:r>
        <w:rPr>
          <w:rStyle w:val="Zakotwiczenieprzypisudolnego"/>
          <w:rFonts w:cstheme="minorHAnsi"/>
        </w:rPr>
        <w:footnoteReference w:id="32"/>
      </w:r>
      <w:r>
        <w:rPr>
          <w:rFonts w:cstheme="minorHAnsi"/>
        </w:rPr>
        <w:t xml:space="preserve"> The Minister also did not mention that according to </w:t>
      </w:r>
      <w:r w:rsidR="009324EA">
        <w:rPr>
          <w:rFonts w:cstheme="minorHAnsi"/>
        </w:rPr>
        <w:t xml:space="preserve">the </w:t>
      </w:r>
      <w:r>
        <w:rPr>
          <w:rFonts w:cstheme="minorHAnsi"/>
        </w:rPr>
        <w:t>case-law of the Court, the attorney representing a foreigner should be allowed to participate in the procedures at the border.</w:t>
      </w:r>
      <w:r>
        <w:rPr>
          <w:rStyle w:val="Zakotwiczenieprzypisudolnego"/>
          <w:rFonts w:cstheme="minorHAnsi"/>
        </w:rPr>
        <w:footnoteReference w:id="33"/>
      </w:r>
    </w:p>
    <w:p w14:paraId="497F6717" w14:textId="77777777" w:rsidR="001A0A33" w:rsidRDefault="00CF13F8">
      <w:pPr>
        <w:spacing w:after="0" w:line="276" w:lineRule="auto"/>
        <w:jc w:val="both"/>
        <w:rPr>
          <w:rFonts w:cstheme="minorHAnsi"/>
        </w:rPr>
      </w:pPr>
      <w:r>
        <w:rPr>
          <w:rFonts w:cstheme="minorHAnsi"/>
        </w:rPr>
        <w:t xml:space="preserve">More detailed information on the access to information and legal assistance for vulnerable groups can be found in the ECRE's AIDA Country report on </w:t>
      </w:r>
      <w:r>
        <w:rPr>
          <w:rFonts w:cstheme="minorHAnsi"/>
          <w:b/>
        </w:rPr>
        <w:t>Poland</w:t>
      </w:r>
      <w:r>
        <w:rPr>
          <w:rFonts w:cstheme="minorHAnsi"/>
        </w:rPr>
        <w:t>.</w:t>
      </w:r>
      <w:r>
        <w:rPr>
          <w:rStyle w:val="Zakotwiczenieprzypisudolnego"/>
          <w:rFonts w:cstheme="minorHAnsi"/>
        </w:rPr>
        <w:footnoteReference w:id="34"/>
      </w:r>
    </w:p>
    <w:p w14:paraId="37A2C20F" w14:textId="77777777" w:rsidR="001A0A33" w:rsidRDefault="001A0A33">
      <w:pPr>
        <w:jc w:val="both"/>
        <w:rPr>
          <w:rFonts w:cstheme="minorHAnsi"/>
          <w:lang w:val="en-US"/>
        </w:rPr>
      </w:pPr>
    </w:p>
    <w:p w14:paraId="79FB9815" w14:textId="77777777" w:rsidR="001A0A33" w:rsidRDefault="00CF13F8">
      <w:pPr>
        <w:pStyle w:val="NoSpacing"/>
        <w:numPr>
          <w:ilvl w:val="0"/>
          <w:numId w:val="2"/>
        </w:numPr>
        <w:jc w:val="both"/>
      </w:pPr>
      <w:r>
        <w:rPr>
          <w:rFonts w:ascii="Arial" w:eastAsia="Arial" w:hAnsi="Arial" w:cs="Arial"/>
          <w:b/>
          <w:color w:val="333399"/>
          <w:sz w:val="21"/>
          <w:lang w:val="en-US"/>
        </w:rPr>
        <w:t xml:space="preserve">Provision of interpretation services (e.g. introduction of innovative methods for </w:t>
      </w:r>
      <w:r>
        <w:rPr>
          <w:rFonts w:ascii="Arial" w:eastAsia="Arial" w:hAnsi="Arial" w:cs="Arial"/>
          <w:b/>
          <w:color w:val="333399"/>
          <w:spacing w:val="-2"/>
          <w:sz w:val="21"/>
          <w:lang w:val="en-US"/>
        </w:rPr>
        <w:t xml:space="preserve">interpretation, </w:t>
      </w:r>
      <w:r>
        <w:rPr>
          <w:rFonts w:ascii="Arial" w:eastAsia="Arial" w:hAnsi="Arial" w:cs="Arial"/>
          <w:b/>
          <w:color w:val="333399"/>
          <w:sz w:val="21"/>
          <w:lang w:val="en-US"/>
        </w:rPr>
        <w:t>increase/decrease in the number of languages available, change in qualifications required for interpreters)</w:t>
      </w:r>
    </w:p>
    <w:p w14:paraId="44064747" w14:textId="77777777" w:rsidR="001A0A33" w:rsidRDefault="001A0A33">
      <w:pPr>
        <w:spacing w:after="0" w:line="276" w:lineRule="auto"/>
        <w:jc w:val="both"/>
        <w:rPr>
          <w:lang w:val="en-US"/>
        </w:rPr>
      </w:pPr>
    </w:p>
    <w:p w14:paraId="3FE94D21" w14:textId="77777777" w:rsidR="001A0A33" w:rsidRDefault="00CF13F8">
      <w:pPr>
        <w:spacing w:after="0" w:line="276" w:lineRule="auto"/>
        <w:jc w:val="both"/>
        <w:rPr>
          <w:rFonts w:cstheme="minorHAnsi"/>
        </w:rPr>
      </w:pPr>
      <w:r>
        <w:rPr>
          <w:rFonts w:cstheme="minorHAnsi"/>
        </w:rPr>
        <w:t xml:space="preserve">Information can be found in the ECRE's AIDA Country report on </w:t>
      </w:r>
      <w:r>
        <w:rPr>
          <w:rFonts w:cstheme="minorHAnsi"/>
          <w:b/>
        </w:rPr>
        <w:t>Poland</w:t>
      </w:r>
      <w:r>
        <w:rPr>
          <w:rFonts w:cstheme="minorHAnsi"/>
        </w:rPr>
        <w:t>.</w:t>
      </w:r>
      <w:r>
        <w:rPr>
          <w:rStyle w:val="Zakotwiczenieprzypisudolnego"/>
          <w:rFonts w:cstheme="minorHAnsi"/>
        </w:rPr>
        <w:footnoteReference w:id="35"/>
      </w:r>
    </w:p>
    <w:p w14:paraId="7440B8C3" w14:textId="77777777" w:rsidR="001A0A33" w:rsidRDefault="001A0A33">
      <w:pPr>
        <w:jc w:val="both"/>
        <w:rPr>
          <w:lang w:val="en-US"/>
        </w:rPr>
      </w:pPr>
    </w:p>
    <w:p w14:paraId="71FCFF82" w14:textId="77777777" w:rsidR="001A0A33" w:rsidRDefault="00CF13F8">
      <w:pPr>
        <w:pStyle w:val="NoSpacing"/>
        <w:numPr>
          <w:ilvl w:val="0"/>
          <w:numId w:val="2"/>
        </w:numPr>
        <w:jc w:val="both"/>
      </w:pPr>
      <w:r>
        <w:rPr>
          <w:rFonts w:ascii="Arial" w:eastAsia="Arial" w:hAnsi="Arial" w:cs="Arial"/>
          <w:b/>
          <w:color w:val="333399"/>
          <w:sz w:val="21"/>
          <w:lang w:val="en-US"/>
        </w:rPr>
        <w:t xml:space="preserve">Dublin procedures (including the </w:t>
      </w:r>
      <w:proofErr w:type="spellStart"/>
      <w:r>
        <w:rPr>
          <w:rFonts w:ascii="Arial" w:eastAsia="Arial" w:hAnsi="Arial" w:cs="Arial"/>
          <w:b/>
          <w:color w:val="333399"/>
          <w:sz w:val="21"/>
          <w:lang w:val="en-US"/>
        </w:rPr>
        <w:t>organisational</w:t>
      </w:r>
      <w:proofErr w:type="spellEnd"/>
      <w:r>
        <w:rPr>
          <w:rFonts w:ascii="Arial" w:eastAsia="Arial" w:hAnsi="Arial" w:cs="Arial"/>
          <w:b/>
          <w:color w:val="333399"/>
          <w:sz w:val="21"/>
          <w:lang w:val="en-US"/>
        </w:rPr>
        <w:t xml:space="preserve"> framework, practical developments, suspension of transfers to selected countries, detention in the framework of Dublin procedures)</w:t>
      </w:r>
    </w:p>
    <w:p w14:paraId="11E30302" w14:textId="77777777" w:rsidR="001A0A33" w:rsidRDefault="001A0A33">
      <w:pPr>
        <w:spacing w:line="276" w:lineRule="auto"/>
        <w:contextualSpacing/>
        <w:jc w:val="both"/>
        <w:rPr>
          <w:rStyle w:val="tlid-translation"/>
          <w:rFonts w:ascii="Verdana" w:hAnsi="Verdana"/>
          <w:lang w:val="en"/>
        </w:rPr>
      </w:pPr>
    </w:p>
    <w:p w14:paraId="4CF7230A" w14:textId="77777777" w:rsidR="001A0A33" w:rsidRDefault="00CF13F8">
      <w:pPr>
        <w:spacing w:line="276" w:lineRule="auto"/>
        <w:contextualSpacing/>
        <w:jc w:val="both"/>
        <w:rPr>
          <w:rFonts w:cstheme="minorHAnsi"/>
        </w:rPr>
      </w:pPr>
      <w:r>
        <w:rPr>
          <w:rStyle w:val="tlid-translation"/>
          <w:rFonts w:cstheme="minorHAnsi"/>
          <w:lang w:val="en"/>
        </w:rPr>
        <w:t xml:space="preserve">In </w:t>
      </w:r>
      <w:r>
        <w:rPr>
          <w:rStyle w:val="tlid-translation"/>
          <w:rFonts w:cstheme="minorHAnsi"/>
          <w:b/>
          <w:lang w:val="en"/>
        </w:rPr>
        <w:t>Poland</w:t>
      </w:r>
      <w:r>
        <w:rPr>
          <w:rStyle w:val="tlid-translation"/>
          <w:rFonts w:cstheme="minorHAnsi"/>
          <w:lang w:val="en"/>
        </w:rPr>
        <w:t xml:space="preserve">, </w:t>
      </w:r>
      <w:r>
        <w:rPr>
          <w:rFonts w:cstheme="minorHAnsi"/>
        </w:rPr>
        <w:t xml:space="preserve">the </w:t>
      </w:r>
      <w:r>
        <w:rPr>
          <w:rFonts w:cstheme="minorHAnsi"/>
          <w:lang w:val="en"/>
        </w:rPr>
        <w:t>Border Guard</w:t>
      </w:r>
      <w:r>
        <w:rPr>
          <w:rStyle w:val="Zakotwiczenieprzypisudolnego"/>
          <w:rFonts w:cstheme="minorHAnsi"/>
          <w:lang w:val="en"/>
        </w:rPr>
        <w:footnoteReference w:id="36"/>
      </w:r>
      <w:r>
        <w:rPr>
          <w:rFonts w:cstheme="minorHAnsi"/>
        </w:rPr>
        <w:t xml:space="preserve"> </w:t>
      </w:r>
      <w:r>
        <w:rPr>
          <w:rStyle w:val="tlid-translation"/>
          <w:rFonts w:cstheme="minorHAnsi"/>
          <w:lang w:val="en"/>
        </w:rPr>
        <w:t xml:space="preserve">due to the announcement of the COVID-19 pandemic state, followed by the announcement of the COVID-19 epidemic, has stopped the execution of all transfers under the Dublin III Regulation between 16 March 2020 and 8 July 2020. Later </w:t>
      </w:r>
      <w:proofErr w:type="spellStart"/>
      <w:r>
        <w:rPr>
          <w:rStyle w:val="tlid-translation"/>
          <w:rFonts w:cstheme="minorHAnsi"/>
          <w:lang w:val="en"/>
        </w:rPr>
        <w:t>i</w:t>
      </w:r>
      <w:r>
        <w:rPr>
          <w:rFonts w:cstheme="minorHAnsi"/>
        </w:rPr>
        <w:t>n</w:t>
      </w:r>
      <w:proofErr w:type="spellEnd"/>
      <w:r>
        <w:rPr>
          <w:rFonts w:cstheme="minorHAnsi"/>
        </w:rPr>
        <w:t xml:space="preserve"> July 2020, Poland resumed admitting foreigners under the Dublin III regulation. According to </w:t>
      </w:r>
      <w:r>
        <w:rPr>
          <w:rStyle w:val="tlid-translation"/>
          <w:rFonts w:cstheme="minorHAnsi"/>
        </w:rPr>
        <w:t xml:space="preserve">the </w:t>
      </w:r>
      <w:r>
        <w:rPr>
          <w:rFonts w:cstheme="minorHAnsi"/>
        </w:rPr>
        <w:t>Border Guard</w:t>
      </w:r>
      <w:r>
        <w:rPr>
          <w:rStyle w:val="tlid-translation"/>
          <w:rFonts w:cstheme="minorHAnsi"/>
        </w:rPr>
        <w:t>,</w:t>
      </w:r>
      <w:r>
        <w:rPr>
          <w:rStyle w:val="Zakotwiczenieprzypisudolnego"/>
          <w:rFonts w:cstheme="minorHAnsi"/>
        </w:rPr>
        <w:footnoteReference w:id="37"/>
      </w:r>
      <w:r>
        <w:rPr>
          <w:rStyle w:val="tlid-translation"/>
          <w:rFonts w:cstheme="minorHAnsi"/>
        </w:rPr>
        <w:t xml:space="preserve"> </w:t>
      </w:r>
      <w:r>
        <w:rPr>
          <w:rFonts w:cstheme="minorHAnsi"/>
        </w:rPr>
        <w:t>all Border Guard units have been provided with information materials (posters, leaflets) on COVID-19 in more than 20 language versions (information on the disease itself, prevention, hygiene).</w:t>
      </w:r>
      <w:r>
        <w:rPr>
          <w:rStyle w:val="tlid-translation"/>
          <w:rFonts w:cstheme="minorHAnsi"/>
        </w:rPr>
        <w:t xml:space="preserve"> Furthermore, since 26</w:t>
      </w:r>
      <w:r>
        <w:rPr>
          <w:rFonts w:cstheme="minorHAnsi"/>
        </w:rPr>
        <w:t xml:space="preserve"> October 2020,</w:t>
      </w:r>
      <w:r>
        <w:rPr>
          <w:rStyle w:val="Zakotwiczenieprzypisudolnego"/>
          <w:rFonts w:cstheme="minorHAnsi"/>
        </w:rPr>
        <w:footnoteReference w:id="38"/>
      </w:r>
      <w:r>
        <w:rPr>
          <w:rFonts w:cstheme="minorHAnsi"/>
        </w:rPr>
        <w:t xml:space="preserve"> an additional requirement was introduced regarding the ‘Dublin procedure’. The sending EU Member States, are requested to perform tests for the SARS-CoV-2 virus no later than 72 hours before the foreigner is transferred to Poland under the Dublin III regulation. Only the issuance of the relevant certificate of a negative virus test result by the sending Member State allows the transfer of a foreigner to </w:t>
      </w:r>
      <w:r>
        <w:rPr>
          <w:rFonts w:cstheme="minorHAnsi"/>
          <w:b/>
        </w:rPr>
        <w:t>Poland</w:t>
      </w:r>
      <w:r>
        <w:rPr>
          <w:rFonts w:cstheme="minorHAnsi"/>
        </w:rPr>
        <w:t>.</w:t>
      </w:r>
    </w:p>
    <w:p w14:paraId="40082321" w14:textId="77777777" w:rsidR="001A0A33" w:rsidRDefault="001A0A33">
      <w:pPr>
        <w:spacing w:after="0" w:line="276" w:lineRule="auto"/>
        <w:jc w:val="both"/>
        <w:rPr>
          <w:rFonts w:cstheme="minorHAnsi"/>
        </w:rPr>
      </w:pPr>
    </w:p>
    <w:p w14:paraId="1338836E" w14:textId="77777777" w:rsidR="001A0A33" w:rsidRDefault="00CF13F8">
      <w:pPr>
        <w:spacing w:after="0" w:line="276" w:lineRule="auto"/>
        <w:jc w:val="both"/>
        <w:rPr>
          <w:rFonts w:cstheme="minorHAnsi"/>
        </w:rPr>
      </w:pPr>
      <w:r>
        <w:rPr>
          <w:rFonts w:cstheme="minorHAnsi"/>
        </w:rPr>
        <w:t xml:space="preserve">More information on Dublin procedures can be found in the ECRE's AIDA Country report on </w:t>
      </w:r>
      <w:r>
        <w:rPr>
          <w:rFonts w:cstheme="minorHAnsi"/>
          <w:b/>
        </w:rPr>
        <w:t>Poland</w:t>
      </w:r>
      <w:r>
        <w:rPr>
          <w:rFonts w:cstheme="minorHAnsi"/>
        </w:rPr>
        <w:t>.</w:t>
      </w:r>
      <w:r>
        <w:rPr>
          <w:rStyle w:val="Zakotwiczenieprzypisudolnego"/>
          <w:rFonts w:cstheme="minorHAnsi"/>
        </w:rPr>
        <w:footnoteReference w:id="39"/>
      </w:r>
    </w:p>
    <w:p w14:paraId="7A16CFA6" w14:textId="77777777" w:rsidR="001A0A33" w:rsidRDefault="001A0A33">
      <w:pPr>
        <w:jc w:val="both"/>
      </w:pPr>
    </w:p>
    <w:p w14:paraId="58291873" w14:textId="77777777" w:rsidR="001A0A33" w:rsidRDefault="00CF13F8">
      <w:pPr>
        <w:pStyle w:val="ListParagraph"/>
        <w:numPr>
          <w:ilvl w:val="0"/>
          <w:numId w:val="2"/>
        </w:numPr>
        <w:tabs>
          <w:tab w:val="left" w:pos="469"/>
        </w:tabs>
        <w:spacing w:before="84" w:after="3" w:line="302" w:lineRule="auto"/>
        <w:ind w:right="286"/>
        <w:jc w:val="both"/>
        <w:rPr>
          <w:b/>
          <w:sz w:val="21"/>
        </w:rPr>
      </w:pPr>
      <w:r>
        <w:rPr>
          <w:b/>
          <w:color w:val="333399"/>
          <w:sz w:val="21"/>
        </w:rPr>
        <w:t xml:space="preserve">Special procedures (including border procedures, procedures in transit zones, </w:t>
      </w:r>
      <w:r>
        <w:rPr>
          <w:b/>
          <w:color w:val="333399"/>
          <w:sz w:val="21"/>
        </w:rPr>
        <w:lastRenderedPageBreak/>
        <w:t xml:space="preserve">accelerated procedures, admissibility procedures, </w:t>
      </w:r>
      <w:proofErr w:type="spellStart"/>
      <w:r>
        <w:rPr>
          <w:b/>
          <w:color w:val="333399"/>
          <w:sz w:val="21"/>
        </w:rPr>
        <w:t>prioritised</w:t>
      </w:r>
      <w:proofErr w:type="spellEnd"/>
      <w:r>
        <w:rPr>
          <w:b/>
          <w:color w:val="333399"/>
          <w:sz w:val="21"/>
        </w:rPr>
        <w:t xml:space="preserve"> procedures or any special procedure for </w:t>
      </w:r>
      <w:r>
        <w:rPr>
          <w:b/>
          <w:color w:val="333399"/>
          <w:spacing w:val="-3"/>
          <w:sz w:val="21"/>
        </w:rPr>
        <w:t xml:space="preserve">selected </w:t>
      </w:r>
      <w:r>
        <w:rPr>
          <w:b/>
          <w:color w:val="333399"/>
          <w:sz w:val="21"/>
        </w:rPr>
        <w:t>caseloads)</w:t>
      </w:r>
    </w:p>
    <w:p w14:paraId="3B9BEB70" w14:textId="77777777" w:rsidR="001A0A33" w:rsidRDefault="001A0A33">
      <w:pPr>
        <w:jc w:val="both"/>
        <w:rPr>
          <w:rFonts w:cstheme="minorHAnsi"/>
        </w:rPr>
      </w:pPr>
    </w:p>
    <w:p w14:paraId="67A40499" w14:textId="77777777" w:rsidR="001A0A33" w:rsidRDefault="00CF13F8">
      <w:pPr>
        <w:spacing w:after="0" w:line="276" w:lineRule="auto"/>
        <w:jc w:val="both"/>
        <w:rPr>
          <w:rFonts w:cstheme="minorHAnsi"/>
        </w:rPr>
      </w:pPr>
      <w:r>
        <w:rPr>
          <w:rFonts w:cstheme="minorHAnsi"/>
        </w:rPr>
        <w:t xml:space="preserve">Information can be found in the ECRE's AIDA Country report on </w:t>
      </w:r>
      <w:r>
        <w:rPr>
          <w:rFonts w:cstheme="minorHAnsi"/>
          <w:b/>
        </w:rPr>
        <w:t>Poland</w:t>
      </w:r>
      <w:r>
        <w:rPr>
          <w:rFonts w:cstheme="minorHAnsi"/>
        </w:rPr>
        <w:t>.</w:t>
      </w:r>
      <w:r>
        <w:rPr>
          <w:rStyle w:val="Zakotwiczenieprzypisudolnego"/>
          <w:rFonts w:cstheme="minorHAnsi"/>
        </w:rPr>
        <w:footnoteReference w:id="40"/>
      </w:r>
    </w:p>
    <w:p w14:paraId="1A51446A" w14:textId="77777777" w:rsidR="001A0A33" w:rsidRDefault="001A0A33">
      <w:pPr>
        <w:jc w:val="both"/>
        <w:rPr>
          <w:rFonts w:cstheme="minorHAnsi"/>
        </w:rPr>
      </w:pPr>
    </w:p>
    <w:p w14:paraId="3ABA6063" w14:textId="77777777" w:rsidR="001A0A33" w:rsidRDefault="00CF13F8">
      <w:pPr>
        <w:pStyle w:val="ListParagraph"/>
        <w:numPr>
          <w:ilvl w:val="0"/>
          <w:numId w:val="2"/>
        </w:numPr>
        <w:tabs>
          <w:tab w:val="left" w:pos="469"/>
        </w:tabs>
        <w:spacing w:after="3" w:line="302" w:lineRule="auto"/>
        <w:ind w:right="427"/>
        <w:jc w:val="both"/>
        <w:rPr>
          <w:b/>
          <w:sz w:val="21"/>
        </w:rPr>
      </w:pPr>
      <w:r>
        <w:rPr>
          <w:b/>
          <w:color w:val="333399"/>
          <w:sz w:val="21"/>
        </w:rPr>
        <w:t xml:space="preserve">Reception of applicants for international protection (including information on reception capacities – increase/decrease/stable, material reception conditions - housing, food, clothing </w:t>
      </w:r>
      <w:r>
        <w:rPr>
          <w:b/>
          <w:color w:val="333399"/>
          <w:spacing w:val="-6"/>
          <w:sz w:val="21"/>
        </w:rPr>
        <w:t xml:space="preserve">and </w:t>
      </w:r>
      <w:r>
        <w:rPr>
          <w:b/>
          <w:color w:val="333399"/>
          <w:sz w:val="21"/>
        </w:rPr>
        <w:t xml:space="preserve">financial support, contingency planning in reception, access to the </w:t>
      </w:r>
      <w:proofErr w:type="spellStart"/>
      <w:r>
        <w:rPr>
          <w:b/>
          <w:color w:val="333399"/>
          <w:sz w:val="21"/>
        </w:rPr>
        <w:t>labour</w:t>
      </w:r>
      <w:proofErr w:type="spellEnd"/>
      <w:r>
        <w:rPr>
          <w:b/>
          <w:color w:val="333399"/>
          <w:sz w:val="21"/>
        </w:rPr>
        <w:t xml:space="preserve"> market and vocational training, medical care, schooling and education, residence and freedom of movement)</w:t>
      </w:r>
    </w:p>
    <w:p w14:paraId="1B10938E" w14:textId="77777777" w:rsidR="001A0A33" w:rsidRDefault="001A0A33">
      <w:pPr>
        <w:jc w:val="both"/>
      </w:pPr>
    </w:p>
    <w:p w14:paraId="65F95D0A" w14:textId="77777777" w:rsidR="001A0A33" w:rsidRDefault="00CF13F8">
      <w:pPr>
        <w:spacing w:line="276" w:lineRule="auto"/>
        <w:contextualSpacing/>
        <w:jc w:val="both"/>
        <w:rPr>
          <w:rFonts w:cstheme="minorHAnsi"/>
        </w:rPr>
      </w:pPr>
      <w:r>
        <w:rPr>
          <w:rFonts w:cstheme="minorHAnsi"/>
        </w:rPr>
        <w:t xml:space="preserve">In </w:t>
      </w:r>
      <w:r>
        <w:rPr>
          <w:rFonts w:cstheme="minorHAnsi"/>
          <w:b/>
        </w:rPr>
        <w:t>Poland,</w:t>
      </w:r>
      <w:r>
        <w:rPr>
          <w:rFonts w:cstheme="minorHAnsi"/>
        </w:rPr>
        <w:t xml:space="preserve"> at the end of 2020, 3176 people in total are under the care of the Head of the Office for Foreigners – they received social assistance (e.g. housing, providing information on health issues).</w:t>
      </w:r>
      <w:r>
        <w:rPr>
          <w:rStyle w:val="Zakotwiczenieprzypisudolnego"/>
          <w:rFonts w:cstheme="minorHAnsi"/>
        </w:rPr>
        <w:footnoteReference w:id="41"/>
      </w:r>
    </w:p>
    <w:p w14:paraId="2A733A27" w14:textId="77777777" w:rsidR="001A0A33" w:rsidRDefault="001A0A33">
      <w:pPr>
        <w:spacing w:line="276" w:lineRule="auto"/>
        <w:contextualSpacing/>
        <w:jc w:val="both"/>
        <w:rPr>
          <w:rFonts w:cstheme="minorHAnsi"/>
        </w:rPr>
      </w:pPr>
    </w:p>
    <w:p w14:paraId="218AA4C4" w14:textId="77777777" w:rsidR="001A0A33" w:rsidRDefault="00CF13F8">
      <w:pPr>
        <w:spacing w:line="276" w:lineRule="auto"/>
        <w:contextualSpacing/>
        <w:jc w:val="both"/>
        <w:rPr>
          <w:rFonts w:cstheme="minorHAnsi"/>
        </w:rPr>
      </w:pPr>
      <w:r>
        <w:rPr>
          <w:rFonts w:cstheme="minorHAnsi"/>
        </w:rPr>
        <w:t xml:space="preserve">In </w:t>
      </w:r>
      <w:r>
        <w:rPr>
          <w:rFonts w:cstheme="minorHAnsi"/>
          <w:b/>
        </w:rPr>
        <w:t>Poland,</w:t>
      </w:r>
      <w:r>
        <w:rPr>
          <w:rStyle w:val="shorttext"/>
          <w:rFonts w:cstheme="minorHAnsi"/>
        </w:rPr>
        <w:t xml:space="preserve"> the assistance granted in the reception centres is granted primarily to all asylum applicants. An asylum applicant can obtain assistance in the form of a financial allowance </w:t>
      </w:r>
      <w:r>
        <w:rPr>
          <w:rFonts w:cstheme="minorHAnsi"/>
        </w:rPr>
        <w:t>to live outside these centres only</w:t>
      </w:r>
      <w:r>
        <w:rPr>
          <w:rStyle w:val="shorttext"/>
          <w:rFonts w:cstheme="minorHAnsi"/>
        </w:rPr>
        <w:t xml:space="preserve"> upon request examined by the </w:t>
      </w:r>
      <w:r>
        <w:rPr>
          <w:rFonts w:cstheme="minorHAnsi"/>
        </w:rPr>
        <w:t>Head of the Office for Foreigners</w:t>
      </w:r>
      <w:r>
        <w:rPr>
          <w:rStyle w:val="shorttext"/>
          <w:rFonts w:cstheme="minorHAnsi"/>
        </w:rPr>
        <w:t xml:space="preserve">. It </w:t>
      </w:r>
      <w:r>
        <w:rPr>
          <w:rFonts w:cstheme="minorHAnsi"/>
        </w:rPr>
        <w:t>can be granted</w:t>
      </w:r>
      <w:r>
        <w:rPr>
          <w:rStyle w:val="shorttext"/>
          <w:rFonts w:cstheme="minorHAnsi"/>
        </w:rPr>
        <w:t xml:space="preserve"> for organizational, safety or family reasons or to prepare asylum applicants for independent life after they have been granted any form of protection.</w:t>
      </w:r>
      <w:r>
        <w:rPr>
          <w:rFonts w:cstheme="minorHAnsi"/>
        </w:rPr>
        <w:t xml:space="preserve"> The amount of these funds is PLN 750 / € 180 per person per month (PLN 25 per day). In the case of families, these amounts are lower, for example in </w:t>
      </w:r>
      <w:r w:rsidR="00B60B06">
        <w:rPr>
          <w:rFonts w:cstheme="minorHAnsi"/>
        </w:rPr>
        <w:t>a</w:t>
      </w:r>
      <w:r>
        <w:rPr>
          <w:rFonts w:cstheme="minorHAnsi"/>
        </w:rPr>
        <w:t xml:space="preserve"> family of three or more persons, the amount is PLN 450 per person per month and in the case of four-person households and more - it is PLN 375 per perso</w:t>
      </w:r>
      <w:r w:rsidR="00B60B06">
        <w:rPr>
          <w:rFonts w:cstheme="minorHAnsi"/>
        </w:rPr>
        <w:t>n per month. It was raised that</w:t>
      </w:r>
      <w:r>
        <w:rPr>
          <w:rFonts w:cstheme="minorHAnsi"/>
        </w:rPr>
        <w:t xml:space="preserve"> these resources are not sufficient to meet the basic living needs of asylum seekers, thus violating EU Directive 2013/33/EU which lays down the standards for the reception of applicants for international protection.</w:t>
      </w:r>
      <w:r>
        <w:rPr>
          <w:rStyle w:val="Zakotwiczenieprzypisudolnego"/>
          <w:rFonts w:cstheme="minorHAnsi"/>
        </w:rPr>
        <w:footnoteReference w:id="42"/>
      </w:r>
      <w:r>
        <w:rPr>
          <w:rFonts w:cstheme="minorHAnsi"/>
        </w:rPr>
        <w:t xml:space="preserve"> The Directive stipulates that the material resources granted to asylum seekers should ensure an adequate standard of living. According to the Polish NGOs, in the case of families of three or more persons, the</w:t>
      </w:r>
      <w:r>
        <w:rPr>
          <w:rStyle w:val="shorttext"/>
          <w:rFonts w:cstheme="minorHAnsi"/>
        </w:rPr>
        <w:t xml:space="preserve"> financial allowance</w:t>
      </w:r>
      <w:r>
        <w:rPr>
          <w:rFonts w:cstheme="minorHAnsi"/>
        </w:rPr>
        <w:t xml:space="preserve"> for asylum seekers who decide to reside outside reception centres is lower than the established social criterion, i.e. the income threshold for social assistance. </w:t>
      </w:r>
      <w:r>
        <w:rPr>
          <w:rFonts w:eastAsia="Times New Roman" w:cstheme="minorHAnsi"/>
          <w:lang w:eastAsia="pl-PL"/>
        </w:rPr>
        <w:t xml:space="preserve">Currently, the latter is set at PLN 528 per month per person in the family. One of the NGOs </w:t>
      </w:r>
      <w:r>
        <w:rPr>
          <w:rFonts w:cstheme="minorHAnsi"/>
        </w:rPr>
        <w:t xml:space="preserve">has submitted a complaint to the European Commission on the amount of </w:t>
      </w:r>
      <w:r>
        <w:rPr>
          <w:rStyle w:val="shorttext"/>
          <w:rFonts w:cstheme="minorHAnsi"/>
        </w:rPr>
        <w:t xml:space="preserve">financial allowance </w:t>
      </w:r>
      <w:r>
        <w:rPr>
          <w:rFonts w:cstheme="minorHAnsi"/>
        </w:rPr>
        <w:t>received by asylum seekers staying outside the reception centres.</w:t>
      </w:r>
      <w:r>
        <w:rPr>
          <w:rFonts w:eastAsia="Times New Roman" w:cstheme="minorHAnsi"/>
          <w:lang w:eastAsia="pl-PL"/>
        </w:rPr>
        <w:t xml:space="preserve"> As the authors of the complaint emphasise, 'the amount of </w:t>
      </w:r>
      <w:r>
        <w:rPr>
          <w:rStyle w:val="shorttext"/>
          <w:rFonts w:cstheme="minorHAnsi"/>
        </w:rPr>
        <w:t xml:space="preserve">financial allowance </w:t>
      </w:r>
      <w:r>
        <w:rPr>
          <w:rFonts w:eastAsia="Times New Roman" w:cstheme="minorHAnsi"/>
          <w:lang w:eastAsia="pl-PL"/>
        </w:rPr>
        <w:t>granted to asylum seekers in households with three or more persons is also lower than the minimum subsistence level'.</w:t>
      </w:r>
    </w:p>
    <w:p w14:paraId="5EDFA853" w14:textId="77777777" w:rsidR="001A0A33" w:rsidRDefault="001A0A33">
      <w:pPr>
        <w:spacing w:line="276" w:lineRule="auto"/>
        <w:contextualSpacing/>
        <w:jc w:val="both"/>
        <w:rPr>
          <w:rFonts w:cstheme="minorHAnsi"/>
        </w:rPr>
      </w:pPr>
    </w:p>
    <w:p w14:paraId="4549700A" w14:textId="77777777" w:rsidR="001A0A33" w:rsidRDefault="00CF13F8">
      <w:pPr>
        <w:jc w:val="both"/>
        <w:rPr>
          <w:rFonts w:cstheme="minorHAnsi"/>
        </w:rPr>
      </w:pPr>
      <w:r>
        <w:rPr>
          <w:rFonts w:cstheme="minorHAnsi"/>
        </w:rPr>
        <w:lastRenderedPageBreak/>
        <w:t xml:space="preserve">More information can be found in the ECRE's AIDA Country report on </w:t>
      </w:r>
      <w:r>
        <w:rPr>
          <w:rFonts w:cstheme="minorHAnsi"/>
          <w:b/>
        </w:rPr>
        <w:t>Poland</w:t>
      </w:r>
      <w:r>
        <w:rPr>
          <w:rFonts w:cstheme="minorHAnsi"/>
        </w:rPr>
        <w:t>.</w:t>
      </w:r>
      <w:r>
        <w:rPr>
          <w:rStyle w:val="Zakotwiczenieprzypisudolnego"/>
          <w:rFonts w:cstheme="minorHAnsi"/>
        </w:rPr>
        <w:footnoteReference w:id="43"/>
      </w:r>
    </w:p>
    <w:p w14:paraId="2D5BFB16" w14:textId="77777777" w:rsidR="001A0A33" w:rsidRDefault="001A0A33">
      <w:pPr>
        <w:jc w:val="both"/>
        <w:rPr>
          <w:rFonts w:cstheme="minorHAnsi"/>
        </w:rPr>
      </w:pPr>
    </w:p>
    <w:p w14:paraId="3CBC5176" w14:textId="77777777" w:rsidR="001A0A33" w:rsidRDefault="00CF13F8">
      <w:pPr>
        <w:pStyle w:val="ListParagraph"/>
        <w:numPr>
          <w:ilvl w:val="0"/>
          <w:numId w:val="2"/>
        </w:numPr>
        <w:tabs>
          <w:tab w:val="left" w:pos="469"/>
        </w:tabs>
        <w:jc w:val="both"/>
        <w:rPr>
          <w:b/>
          <w:color w:val="333399"/>
          <w:sz w:val="21"/>
        </w:rPr>
      </w:pPr>
      <w:r>
        <w:rPr>
          <w:b/>
          <w:color w:val="333399"/>
          <w:sz w:val="21"/>
        </w:rPr>
        <w:t>Detention of applicants for international protection (including detention capacity – increase /decrease/stable, practices regarding detention, grounds for detention, alternatives to detention, time limit for detention)</w:t>
      </w:r>
    </w:p>
    <w:p w14:paraId="1F8DE6DF" w14:textId="77777777" w:rsidR="001A0A33" w:rsidRDefault="001A0A33">
      <w:pPr>
        <w:jc w:val="both"/>
      </w:pPr>
    </w:p>
    <w:p w14:paraId="21DECC09" w14:textId="77777777" w:rsidR="001A0A33" w:rsidRDefault="00CF13F8">
      <w:pPr>
        <w:spacing w:line="276" w:lineRule="auto"/>
        <w:contextualSpacing/>
        <w:jc w:val="both"/>
        <w:rPr>
          <w:rFonts w:cstheme="minorHAnsi"/>
        </w:rPr>
      </w:pPr>
      <w:r>
        <w:rPr>
          <w:rStyle w:val="tlid-translation"/>
          <w:rFonts w:cstheme="minorHAnsi"/>
        </w:rPr>
        <w:t xml:space="preserve">In </w:t>
      </w:r>
      <w:r>
        <w:rPr>
          <w:rStyle w:val="tlid-translation"/>
          <w:rFonts w:cstheme="minorHAnsi"/>
          <w:b/>
        </w:rPr>
        <w:t>Poland</w:t>
      </w:r>
      <w:r>
        <w:rPr>
          <w:rStyle w:val="tlid-translation"/>
          <w:rFonts w:cstheme="minorHAnsi"/>
        </w:rPr>
        <w:t xml:space="preserve">, that due to the announcement of the COVID-19 pandemic state, followed by the announcement of the COVID-19 epidemic, </w:t>
      </w:r>
      <w:r>
        <w:rPr>
          <w:rFonts w:cstheme="minorHAnsi"/>
        </w:rPr>
        <w:t xml:space="preserve">the practice of admitting foreigners to detention </w:t>
      </w:r>
      <w:proofErr w:type="spellStart"/>
      <w:r>
        <w:rPr>
          <w:rFonts w:cstheme="minorHAnsi"/>
        </w:rPr>
        <w:t>centers</w:t>
      </w:r>
      <w:proofErr w:type="spellEnd"/>
      <w:r>
        <w:rPr>
          <w:rFonts w:cstheme="minorHAnsi"/>
        </w:rPr>
        <w:t xml:space="preserve"> has changed. Since 15 March 2020, each foreigner was examined by a doctor before being put in detention (in the case of symptoms of illness, further steps are taken, same as towards Polish citizens, in particular, a virus test is carried out). After the admission, the foreigner was re-examined and placed in isolation conditions to be observed by medical personnel. The body temperature is </w:t>
      </w:r>
      <w:r>
        <w:rPr>
          <w:rStyle w:val="tlid-translation"/>
          <w:rFonts w:cstheme="minorHAnsi"/>
          <w:lang w:val="en"/>
        </w:rPr>
        <w:t xml:space="preserve">being measured to all foreigners staying in detention </w:t>
      </w:r>
      <w:proofErr w:type="spellStart"/>
      <w:r>
        <w:rPr>
          <w:rStyle w:val="tlid-translation"/>
          <w:rFonts w:cstheme="minorHAnsi"/>
          <w:lang w:val="en"/>
        </w:rPr>
        <w:t>centres</w:t>
      </w:r>
      <w:proofErr w:type="spellEnd"/>
      <w:r>
        <w:rPr>
          <w:rStyle w:val="tlid-translation"/>
          <w:rFonts w:cstheme="minorHAnsi"/>
          <w:lang w:val="en"/>
        </w:rPr>
        <w:t xml:space="preserve">, as well as anyone entering this </w:t>
      </w:r>
      <w:proofErr w:type="spellStart"/>
      <w:r>
        <w:rPr>
          <w:rStyle w:val="tlid-translation"/>
          <w:rFonts w:cstheme="minorHAnsi"/>
          <w:lang w:val="en"/>
        </w:rPr>
        <w:t>centre</w:t>
      </w:r>
      <w:proofErr w:type="spellEnd"/>
      <w:r>
        <w:rPr>
          <w:rStyle w:val="tlid-translation"/>
          <w:rFonts w:cstheme="minorHAnsi"/>
          <w:lang w:val="en"/>
        </w:rPr>
        <w:t>.</w:t>
      </w:r>
      <w:r>
        <w:rPr>
          <w:rStyle w:val="Zakotwiczenieprzypisudolnego"/>
          <w:rFonts w:cstheme="minorHAnsi"/>
          <w:lang w:val="en"/>
        </w:rPr>
        <w:footnoteReference w:id="44"/>
      </w:r>
      <w:r>
        <w:rPr>
          <w:rFonts w:cstheme="minorHAnsi"/>
        </w:rPr>
        <w:t xml:space="preserve"> </w:t>
      </w:r>
      <w:r>
        <w:rPr>
          <w:rStyle w:val="tlid-translation"/>
          <w:rFonts w:cstheme="minorHAnsi"/>
        </w:rPr>
        <w:t>Since the end of July 2020,</w:t>
      </w:r>
      <w:r>
        <w:rPr>
          <w:rStyle w:val="FootnoteCharacters"/>
          <w:rFonts w:cstheme="minorHAnsi"/>
        </w:rPr>
        <w:t xml:space="preserve"> </w:t>
      </w:r>
      <w:r>
        <w:rPr>
          <w:rStyle w:val="Zakotwiczenieprzypisudolnego"/>
          <w:rFonts w:cstheme="minorHAnsi"/>
        </w:rPr>
        <w:footnoteReference w:id="45"/>
      </w:r>
      <w:r>
        <w:rPr>
          <w:rStyle w:val="tlid-translation"/>
          <w:rFonts w:cstheme="minorHAnsi"/>
        </w:rPr>
        <w:t xml:space="preserve"> tests for COVID-19 are obligatory for every foreigner placed in detention. </w:t>
      </w:r>
      <w:r>
        <w:rPr>
          <w:rFonts w:cstheme="minorHAnsi"/>
        </w:rPr>
        <w:t xml:space="preserve">In the case of a positive result for COVID-19, the sanitary and medical services decide about the further procedure (they issue decisions on compulsory hospitalization, </w:t>
      </w:r>
      <w:proofErr w:type="gramStart"/>
      <w:r>
        <w:rPr>
          <w:rFonts w:cstheme="minorHAnsi"/>
        </w:rPr>
        <w:t>quarantine</w:t>
      </w:r>
      <w:proofErr w:type="gramEnd"/>
      <w:r>
        <w:rPr>
          <w:rFonts w:cstheme="minorHAnsi"/>
        </w:rPr>
        <w:t xml:space="preserve"> or isolation). </w:t>
      </w:r>
    </w:p>
    <w:p w14:paraId="7B4632A2" w14:textId="77777777" w:rsidR="001A0A33" w:rsidRDefault="001A0A33">
      <w:pPr>
        <w:tabs>
          <w:tab w:val="left" w:pos="284"/>
          <w:tab w:val="left" w:pos="993"/>
        </w:tabs>
        <w:spacing w:line="276" w:lineRule="auto"/>
        <w:contextualSpacing/>
        <w:jc w:val="both"/>
        <w:rPr>
          <w:rFonts w:cstheme="minorHAnsi"/>
        </w:rPr>
      </w:pPr>
    </w:p>
    <w:p w14:paraId="4F1167FD" w14:textId="77777777" w:rsidR="001A0A33" w:rsidRDefault="00CF13F8">
      <w:pPr>
        <w:spacing w:line="276" w:lineRule="auto"/>
        <w:contextualSpacing/>
        <w:jc w:val="both"/>
        <w:rPr>
          <w:rFonts w:cstheme="minorHAnsi"/>
        </w:rPr>
      </w:pPr>
      <w:r>
        <w:rPr>
          <w:rStyle w:val="tlid-translation"/>
          <w:rFonts w:cstheme="minorHAnsi"/>
        </w:rPr>
        <w:t xml:space="preserve">In </w:t>
      </w:r>
      <w:r>
        <w:rPr>
          <w:rStyle w:val="tlid-translation"/>
          <w:rFonts w:cstheme="minorHAnsi"/>
          <w:b/>
        </w:rPr>
        <w:t>Poland</w:t>
      </w:r>
      <w:r>
        <w:rPr>
          <w:rStyle w:val="tlid-translation"/>
          <w:rFonts w:cstheme="minorHAnsi"/>
        </w:rPr>
        <w:t>, the Border Guard</w:t>
      </w:r>
      <w:r>
        <w:rPr>
          <w:rStyle w:val="Zakotwiczenieprzypisudolnego"/>
          <w:rFonts w:cstheme="minorHAnsi"/>
        </w:rPr>
        <w:footnoteReference w:id="46"/>
      </w:r>
      <w:r>
        <w:rPr>
          <w:rStyle w:val="tlid-translation"/>
          <w:rFonts w:cstheme="minorHAnsi"/>
        </w:rPr>
        <w:t xml:space="preserve"> on 10 October 2020</w:t>
      </w:r>
      <w:r>
        <w:rPr>
          <w:rFonts w:cstheme="minorHAnsi"/>
        </w:rPr>
        <w:t xml:space="preserve"> issued</w:t>
      </w:r>
      <w:r>
        <w:rPr>
          <w:rStyle w:val="tlid-translation"/>
          <w:rFonts w:cstheme="minorHAnsi"/>
        </w:rPr>
        <w:t xml:space="preserve"> the</w:t>
      </w:r>
      <w:r>
        <w:rPr>
          <w:rFonts w:cstheme="minorHAnsi"/>
        </w:rPr>
        <w:t xml:space="preserve"> guidelines to ensure that alternative measures to detention in the form of the foreigner's obligation to report to the border authorities are implemented in a way that limits the possibility of direct contact.</w:t>
      </w:r>
    </w:p>
    <w:p w14:paraId="69CF278E" w14:textId="77777777" w:rsidR="001A0A33" w:rsidRDefault="001A0A33">
      <w:pPr>
        <w:tabs>
          <w:tab w:val="left" w:pos="284"/>
          <w:tab w:val="left" w:pos="993"/>
        </w:tabs>
        <w:spacing w:line="276" w:lineRule="auto"/>
        <w:contextualSpacing/>
        <w:jc w:val="both"/>
        <w:rPr>
          <w:rFonts w:cstheme="minorHAnsi"/>
        </w:rPr>
      </w:pPr>
    </w:p>
    <w:p w14:paraId="4B2D59D6" w14:textId="77777777" w:rsidR="001A0A33" w:rsidRDefault="00DF1EAE">
      <w:pPr>
        <w:tabs>
          <w:tab w:val="left" w:pos="284"/>
          <w:tab w:val="left" w:pos="993"/>
        </w:tabs>
        <w:spacing w:line="276" w:lineRule="auto"/>
        <w:contextualSpacing/>
        <w:jc w:val="both"/>
        <w:rPr>
          <w:rFonts w:eastAsia="Times New Roman" w:cstheme="minorHAnsi"/>
          <w:lang w:eastAsia="pl-PL"/>
        </w:rPr>
      </w:pPr>
      <w:r>
        <w:rPr>
          <w:rFonts w:cstheme="minorHAnsi"/>
        </w:rPr>
        <w:t>The d</w:t>
      </w:r>
      <w:r w:rsidR="00CF13F8">
        <w:rPr>
          <w:rFonts w:cstheme="minorHAnsi"/>
        </w:rPr>
        <w:t xml:space="preserve">etention of </w:t>
      </w:r>
      <w:r w:rsidR="00CF13F8">
        <w:rPr>
          <w:rFonts w:cstheme="minorHAnsi"/>
          <w:lang w:val="en-US"/>
        </w:rPr>
        <w:t xml:space="preserve">foreign families with children is still a persisting concern because the ECtHR’s issued in 2020 two judgements in </w:t>
      </w:r>
      <w:proofErr w:type="gramStart"/>
      <w:r w:rsidR="00CF13F8">
        <w:rPr>
          <w:rFonts w:cstheme="minorHAnsi"/>
          <w:lang w:val="en-US"/>
        </w:rPr>
        <w:t>this regards</w:t>
      </w:r>
      <w:proofErr w:type="gramEnd"/>
      <w:r w:rsidR="00CF13F8">
        <w:rPr>
          <w:rFonts w:cstheme="minorHAnsi"/>
          <w:lang w:val="en-US"/>
        </w:rPr>
        <w:t xml:space="preserve"> concerning </w:t>
      </w:r>
      <w:r w:rsidR="00CF13F8">
        <w:rPr>
          <w:rFonts w:cstheme="minorHAnsi"/>
          <w:b/>
          <w:lang w:val="en-US"/>
        </w:rPr>
        <w:t>Poland</w:t>
      </w:r>
      <w:r w:rsidR="00CF13F8">
        <w:rPr>
          <w:rFonts w:cstheme="minorHAnsi"/>
          <w:lang w:val="en-US"/>
        </w:rPr>
        <w:t xml:space="preserve">. </w:t>
      </w:r>
      <w:r w:rsidR="00CF13F8">
        <w:rPr>
          <w:rFonts w:cstheme="minorHAnsi"/>
        </w:rPr>
        <w:t xml:space="preserve">On 25 March 2020, the ECtHR published its judgment in the case of </w:t>
      </w:r>
      <w:proofErr w:type="spellStart"/>
      <w:r w:rsidR="00CF13F8">
        <w:rPr>
          <w:rFonts w:cstheme="minorHAnsi"/>
        </w:rPr>
        <w:t>Bilalova</w:t>
      </w:r>
      <w:proofErr w:type="spellEnd"/>
      <w:r w:rsidR="00CF13F8">
        <w:rPr>
          <w:rFonts w:cstheme="minorHAnsi"/>
        </w:rPr>
        <w:t xml:space="preserve"> and Others vs. </w:t>
      </w:r>
      <w:r w:rsidR="00CF13F8">
        <w:rPr>
          <w:rFonts w:cstheme="minorHAnsi"/>
          <w:b/>
        </w:rPr>
        <w:t>Poland</w:t>
      </w:r>
      <w:r w:rsidR="00CF13F8">
        <w:rPr>
          <w:rFonts w:cstheme="minorHAnsi"/>
        </w:rPr>
        <w:t xml:space="preserve"> (application no. 23685/14)</w:t>
      </w:r>
      <w:r w:rsidR="00CF13F8">
        <w:rPr>
          <w:rStyle w:val="Zakotwiczenieprzypisudolnego"/>
          <w:rFonts w:cstheme="minorHAnsi"/>
        </w:rPr>
        <w:footnoteReference w:id="47"/>
      </w:r>
      <w:r w:rsidR="00CF13F8">
        <w:rPr>
          <w:rFonts w:cstheme="minorHAnsi"/>
        </w:rPr>
        <w:t xml:space="preserve"> concerning the detention of a foreign woman and her five children. </w:t>
      </w:r>
      <w:r w:rsidR="00CF13F8">
        <w:rPr>
          <w:rFonts w:eastAsia="Times New Roman" w:cstheme="minorHAnsi"/>
          <w:lang w:eastAsia="pl-PL"/>
        </w:rPr>
        <w:t>The Court found that the detention of the children amounted to a violation of Article 5 (1) (f) ECHR. It concluded that there was insufficient evidence to show that the domestic authorities had carried out such assessment and that steps had not been taken to limit the duration of the children's detention. The Court noted that according to a well-established case-law the confinement of young children in such structures should be avoided and that only short-term placement under suitable conditions and only as a measure as a last resort</w:t>
      </w:r>
      <w:r w:rsidR="00CF13F8">
        <w:rPr>
          <w:rFonts w:eastAsia="Times New Roman" w:cstheme="minorHAnsi"/>
          <w:b/>
          <w:lang w:eastAsia="pl-PL"/>
        </w:rPr>
        <w:t>,</w:t>
      </w:r>
      <w:r w:rsidR="00CF13F8">
        <w:rPr>
          <w:rFonts w:eastAsia="Times New Roman" w:cstheme="minorHAnsi"/>
          <w:lang w:eastAsia="pl-PL"/>
        </w:rPr>
        <w:t xml:space="preserve"> could be compatible with the Convention.</w:t>
      </w:r>
    </w:p>
    <w:p w14:paraId="25DC4C1F" w14:textId="77777777" w:rsidR="001A0A33" w:rsidRDefault="001A0A33">
      <w:pPr>
        <w:tabs>
          <w:tab w:val="left" w:pos="284"/>
          <w:tab w:val="left" w:pos="993"/>
        </w:tabs>
        <w:spacing w:line="276" w:lineRule="auto"/>
        <w:contextualSpacing/>
        <w:jc w:val="both"/>
        <w:rPr>
          <w:rFonts w:eastAsia="Times New Roman" w:cstheme="minorHAnsi"/>
          <w:lang w:eastAsia="pl-PL"/>
        </w:rPr>
      </w:pPr>
    </w:p>
    <w:p w14:paraId="0F6111E3" w14:textId="77777777" w:rsidR="001A0A33" w:rsidRDefault="00CF13F8">
      <w:pPr>
        <w:spacing w:line="276" w:lineRule="auto"/>
        <w:contextualSpacing/>
        <w:jc w:val="both"/>
        <w:rPr>
          <w:rFonts w:cstheme="minorHAnsi"/>
        </w:rPr>
      </w:pPr>
      <w:r>
        <w:rPr>
          <w:rFonts w:cstheme="minorHAnsi"/>
          <w:lang w:val="en-US"/>
        </w:rPr>
        <w:t>On 4 June 2020</w:t>
      </w:r>
      <w:r w:rsidR="00B60B06">
        <w:rPr>
          <w:rFonts w:cstheme="minorHAnsi"/>
          <w:lang w:val="en-US"/>
        </w:rPr>
        <w:t>,</w:t>
      </w:r>
      <w:r>
        <w:rPr>
          <w:rFonts w:cstheme="minorHAnsi"/>
          <w:lang w:val="en-US"/>
        </w:rPr>
        <w:t xml:space="preserve"> the ECtHR issued </w:t>
      </w:r>
      <w:r w:rsidR="00B60B06">
        <w:rPr>
          <w:rFonts w:cstheme="minorHAnsi"/>
          <w:lang w:val="en-US"/>
        </w:rPr>
        <w:t xml:space="preserve">a </w:t>
      </w:r>
      <w:r>
        <w:rPr>
          <w:rFonts w:cstheme="minorHAnsi"/>
          <w:lang w:val="en-US"/>
        </w:rPr>
        <w:t xml:space="preserve">third judgment regarding the detention of foreign families with children in </w:t>
      </w:r>
      <w:r>
        <w:rPr>
          <w:rFonts w:cstheme="minorHAnsi"/>
          <w:b/>
          <w:lang w:val="en-US"/>
        </w:rPr>
        <w:t>Poland</w:t>
      </w:r>
      <w:r>
        <w:rPr>
          <w:rFonts w:cstheme="minorHAnsi"/>
          <w:lang w:val="en-US"/>
        </w:rPr>
        <w:t xml:space="preserve"> in the cases </w:t>
      </w:r>
      <w:r>
        <w:rPr>
          <w:rFonts w:cstheme="minorHAnsi"/>
        </w:rPr>
        <w:t xml:space="preserve">of </w:t>
      </w:r>
      <w:r>
        <w:rPr>
          <w:rFonts w:cstheme="minorHAnsi"/>
          <w:i/>
          <w:lang w:val="en-US"/>
        </w:rPr>
        <w:t>A.B. and Others v. Poland</w:t>
      </w:r>
      <w:r>
        <w:rPr>
          <w:rFonts w:cstheme="minorHAnsi"/>
          <w:lang w:val="en-US"/>
        </w:rPr>
        <w:t xml:space="preserve"> (applications no. 15845/15 and 56300/15)</w:t>
      </w:r>
      <w:r>
        <w:rPr>
          <w:rFonts w:cstheme="minorHAnsi"/>
        </w:rPr>
        <w:t>,</w:t>
      </w:r>
      <w:r>
        <w:rPr>
          <w:rStyle w:val="Zakotwiczenieprzypisudolnego"/>
          <w:rFonts w:cstheme="minorHAnsi"/>
        </w:rPr>
        <w:footnoteReference w:id="48"/>
      </w:r>
      <w:r>
        <w:rPr>
          <w:rFonts w:cstheme="minorHAnsi"/>
        </w:rPr>
        <w:t xml:space="preserve"> resulting from the complaints submitted by the HFHR’s lawyer (previous judgments were</w:t>
      </w:r>
      <w:r>
        <w:rPr>
          <w:rFonts w:cstheme="minorHAnsi"/>
          <w:lang w:val="en-US"/>
        </w:rPr>
        <w:t xml:space="preserve"> issued </w:t>
      </w:r>
      <w:r>
        <w:rPr>
          <w:rFonts w:cstheme="minorHAnsi"/>
        </w:rPr>
        <w:t xml:space="preserve">on 25 March 2020 in the mentioned case </w:t>
      </w:r>
      <w:proofErr w:type="spellStart"/>
      <w:r>
        <w:rPr>
          <w:rFonts w:cstheme="minorHAnsi"/>
          <w:i/>
        </w:rPr>
        <w:t>Bilalova</w:t>
      </w:r>
      <w:proofErr w:type="spellEnd"/>
      <w:r>
        <w:rPr>
          <w:rFonts w:cstheme="minorHAnsi"/>
          <w:i/>
        </w:rPr>
        <w:t xml:space="preserve"> and Others vs. Poland </w:t>
      </w:r>
      <w:r>
        <w:rPr>
          <w:rFonts w:cstheme="minorHAnsi"/>
        </w:rPr>
        <w:t xml:space="preserve">and on 10 April 2018 </w:t>
      </w:r>
      <w:r>
        <w:rPr>
          <w:rFonts w:cstheme="minorHAnsi"/>
        </w:rPr>
        <w:lastRenderedPageBreak/>
        <w:t xml:space="preserve">in the case </w:t>
      </w:r>
      <w:proofErr w:type="spellStart"/>
      <w:r>
        <w:rPr>
          <w:rFonts w:cstheme="minorHAnsi"/>
          <w:i/>
          <w:lang w:val="en-US"/>
        </w:rPr>
        <w:t>Bistieva</w:t>
      </w:r>
      <w:proofErr w:type="spellEnd"/>
      <w:r>
        <w:rPr>
          <w:rFonts w:cstheme="minorHAnsi"/>
          <w:i/>
          <w:lang w:val="en-US"/>
        </w:rPr>
        <w:t xml:space="preserve"> and Others v. Poland</w:t>
      </w:r>
      <w:r>
        <w:rPr>
          <w:rFonts w:cstheme="minorHAnsi"/>
          <w:lang w:val="en-US"/>
        </w:rPr>
        <w:t>, application no. 75157/14</w:t>
      </w:r>
      <w:r>
        <w:rPr>
          <w:rStyle w:val="Zakotwiczenieprzypisudolnego"/>
          <w:rFonts w:cstheme="minorHAnsi"/>
        </w:rPr>
        <w:footnoteReference w:id="49"/>
      </w:r>
      <w:r>
        <w:rPr>
          <w:rFonts w:cstheme="minorHAnsi"/>
        </w:rPr>
        <w:t>).</w:t>
      </w:r>
      <w:r>
        <w:rPr>
          <w:rStyle w:val="Strong"/>
          <w:rFonts w:cstheme="minorHAnsi"/>
          <w:lang w:val="en-US"/>
        </w:rPr>
        <w:t xml:space="preserve"> </w:t>
      </w:r>
      <w:r>
        <w:rPr>
          <w:rFonts w:cstheme="minorHAnsi"/>
          <w:lang w:val="en-US"/>
        </w:rPr>
        <w:t>In its recent judgment, the ECtHR found a violation of the right to family life (Article 8 of the Convention) towards the child. The ECtHR held that the Polish authorities had not examined the child's well-being when deciding on the detention of the family, did not treat detention as a last resort and did not examine the possibility of applying alternatives to detention.</w:t>
      </w:r>
    </w:p>
    <w:p w14:paraId="19F7F607" w14:textId="77777777" w:rsidR="00395BE1" w:rsidRDefault="00395BE1" w:rsidP="00395BE1">
      <w:pPr>
        <w:spacing w:after="0" w:line="276" w:lineRule="auto"/>
        <w:jc w:val="both"/>
        <w:rPr>
          <w:rFonts w:cstheme="minorHAnsi"/>
        </w:rPr>
      </w:pPr>
    </w:p>
    <w:p w14:paraId="58A625BC" w14:textId="77777777" w:rsidR="00395BE1" w:rsidRDefault="00395BE1" w:rsidP="00395BE1">
      <w:pPr>
        <w:spacing w:after="0" w:line="276" w:lineRule="auto"/>
        <w:jc w:val="both"/>
        <w:rPr>
          <w:rFonts w:cstheme="minorHAnsi"/>
        </w:rPr>
      </w:pPr>
      <w:r w:rsidRPr="009C2ED3">
        <w:rPr>
          <w:rFonts w:cstheme="minorHAnsi"/>
        </w:rPr>
        <w:t xml:space="preserve">In </w:t>
      </w:r>
      <w:r w:rsidRPr="00C60D61">
        <w:rPr>
          <w:rFonts w:cstheme="minorHAnsi"/>
          <w:b/>
        </w:rPr>
        <w:t>Poland</w:t>
      </w:r>
      <w:r w:rsidRPr="009C2ED3">
        <w:rPr>
          <w:rFonts w:cstheme="minorHAnsi"/>
        </w:rPr>
        <w:t>,</w:t>
      </w:r>
      <w:r w:rsidR="00DF1EAE">
        <w:rPr>
          <w:rFonts w:cstheme="minorHAnsi"/>
        </w:rPr>
        <w:t xml:space="preserve"> the detention of victims of violence and torture is still a persisting concern. For example</w:t>
      </w:r>
      <w:r w:rsidR="00343A8C">
        <w:rPr>
          <w:rFonts w:cstheme="minorHAnsi"/>
        </w:rPr>
        <w:t>,</w:t>
      </w:r>
      <w:r w:rsidRPr="009C2ED3">
        <w:rPr>
          <w:rFonts w:cstheme="minorHAnsi"/>
        </w:rPr>
        <w:t xml:space="preserve"> in March 2020</w:t>
      </w:r>
      <w:r>
        <w:rPr>
          <w:rFonts w:cstheme="minorHAnsi"/>
        </w:rPr>
        <w:t xml:space="preserve"> t</w:t>
      </w:r>
      <w:r w:rsidRPr="009C2ED3">
        <w:rPr>
          <w:rFonts w:cstheme="minorHAnsi"/>
        </w:rPr>
        <w:t xml:space="preserve">he District Court in the city of Radom granted </w:t>
      </w:r>
      <w:r w:rsidR="00EC455A">
        <w:rPr>
          <w:rFonts w:cstheme="minorHAnsi"/>
        </w:rPr>
        <w:t xml:space="preserve">39.000 PLN </w:t>
      </w:r>
      <w:r w:rsidRPr="009C2ED3">
        <w:rPr>
          <w:rFonts w:cstheme="minorHAnsi"/>
        </w:rPr>
        <w:t xml:space="preserve">compensation for the unlawful detention of a citizen of the Democratic Republic of Congo in the detention </w:t>
      </w:r>
      <w:proofErr w:type="spellStart"/>
      <w:r w:rsidRPr="009C2ED3">
        <w:rPr>
          <w:rFonts w:cstheme="minorHAnsi"/>
        </w:rPr>
        <w:t>center</w:t>
      </w:r>
      <w:proofErr w:type="spellEnd"/>
      <w:r w:rsidRPr="009C2ED3">
        <w:rPr>
          <w:rFonts w:cstheme="minorHAnsi"/>
        </w:rPr>
        <w:t xml:space="preserve"> in </w:t>
      </w:r>
      <w:proofErr w:type="spellStart"/>
      <w:r w:rsidRPr="009C2ED3">
        <w:rPr>
          <w:rFonts w:cstheme="minorHAnsi"/>
        </w:rPr>
        <w:t>Lesznowola</w:t>
      </w:r>
      <w:proofErr w:type="spellEnd"/>
      <w:r w:rsidRPr="009C2ED3">
        <w:rPr>
          <w:rFonts w:cstheme="minorHAnsi"/>
        </w:rPr>
        <w:t xml:space="preserve">. The client has been identified by the Border Guard as a victim of violence. Although the law does not allow </w:t>
      </w:r>
      <w:r w:rsidR="00343A8C">
        <w:rPr>
          <w:rFonts w:cstheme="minorHAnsi"/>
        </w:rPr>
        <w:t xml:space="preserve">the </w:t>
      </w:r>
      <w:r w:rsidRPr="009C2ED3">
        <w:rPr>
          <w:rFonts w:cstheme="minorHAnsi"/>
        </w:rPr>
        <w:t xml:space="preserve">detention of such persons, he was detained and released only as a result of a complaint against the decision on placement in the detention </w:t>
      </w:r>
      <w:proofErr w:type="spellStart"/>
      <w:r w:rsidRPr="009C2ED3">
        <w:rPr>
          <w:rFonts w:cstheme="minorHAnsi"/>
        </w:rPr>
        <w:t>center</w:t>
      </w:r>
      <w:proofErr w:type="spellEnd"/>
      <w:r w:rsidRPr="009C2ED3">
        <w:rPr>
          <w:rFonts w:cstheme="minorHAnsi"/>
        </w:rPr>
        <w:t>.</w:t>
      </w:r>
      <w:r w:rsidRPr="009C2ED3">
        <w:t xml:space="preserve"> </w:t>
      </w:r>
      <w:r w:rsidRPr="009C2ED3">
        <w:rPr>
          <w:rFonts w:cstheme="minorHAnsi"/>
        </w:rPr>
        <w:t>The judgment of the district court was upheld by the Court of Appeal in Lublin in February 2021.</w:t>
      </w:r>
      <w:r w:rsidR="00551466">
        <w:rPr>
          <w:rStyle w:val="FootnoteReference"/>
          <w:rFonts w:cstheme="minorHAnsi"/>
        </w:rPr>
        <w:footnoteReference w:id="50"/>
      </w:r>
    </w:p>
    <w:p w14:paraId="79028A2A" w14:textId="77777777" w:rsidR="009C2ED3" w:rsidRDefault="009C2ED3">
      <w:pPr>
        <w:spacing w:after="0" w:line="276" w:lineRule="auto"/>
        <w:jc w:val="both"/>
        <w:rPr>
          <w:rFonts w:cstheme="minorHAnsi"/>
        </w:rPr>
      </w:pPr>
    </w:p>
    <w:p w14:paraId="717B6A89" w14:textId="77777777" w:rsidR="001A0A33" w:rsidRDefault="00CF13F8">
      <w:pPr>
        <w:spacing w:after="0" w:line="276" w:lineRule="auto"/>
        <w:jc w:val="both"/>
        <w:rPr>
          <w:rFonts w:cstheme="minorHAnsi"/>
        </w:rPr>
      </w:pPr>
      <w:r>
        <w:rPr>
          <w:rFonts w:cstheme="minorHAnsi"/>
        </w:rPr>
        <w:t>More information on the detention of applicants for international protection can be found in the ECRE's AIDA Country report on Poland.</w:t>
      </w:r>
      <w:r>
        <w:rPr>
          <w:rStyle w:val="Zakotwiczenieprzypisudolnego"/>
          <w:rFonts w:cstheme="minorHAnsi"/>
        </w:rPr>
        <w:footnoteReference w:id="51"/>
      </w:r>
    </w:p>
    <w:p w14:paraId="26B2FE96" w14:textId="77777777" w:rsidR="001A0A33" w:rsidRDefault="001A0A33">
      <w:pPr>
        <w:jc w:val="both"/>
      </w:pPr>
    </w:p>
    <w:p w14:paraId="3BDD7ADD" w14:textId="77777777" w:rsidR="001A0A33" w:rsidRDefault="00CF13F8">
      <w:pPr>
        <w:pStyle w:val="ListParagraph"/>
        <w:numPr>
          <w:ilvl w:val="0"/>
          <w:numId w:val="2"/>
        </w:numPr>
        <w:tabs>
          <w:tab w:val="left" w:pos="469"/>
        </w:tabs>
        <w:jc w:val="both"/>
        <w:rPr>
          <w:b/>
          <w:color w:val="333399"/>
          <w:sz w:val="21"/>
        </w:rPr>
      </w:pPr>
      <w:r>
        <w:rPr>
          <w:b/>
          <w:color w:val="333399"/>
          <w:sz w:val="21"/>
        </w:rPr>
        <w:t xml:space="preserve">Procedures at first instance (including relevant changes in: the authority in charge, </w:t>
      </w:r>
      <w:proofErr w:type="spellStart"/>
      <w:r>
        <w:rPr>
          <w:b/>
          <w:color w:val="333399"/>
          <w:spacing w:val="-2"/>
          <w:sz w:val="21"/>
        </w:rPr>
        <w:t>organisation</w:t>
      </w:r>
      <w:proofErr w:type="spellEnd"/>
      <w:r>
        <w:rPr>
          <w:b/>
          <w:color w:val="333399"/>
          <w:spacing w:val="-2"/>
          <w:sz w:val="21"/>
        </w:rPr>
        <w:t xml:space="preserve"> </w:t>
      </w:r>
      <w:r>
        <w:rPr>
          <w:b/>
          <w:color w:val="333399"/>
          <w:sz w:val="21"/>
        </w:rPr>
        <w:t>of the process, interviews, evidence assessment, determination of international protection status, decision-making, timeframes, case management - including backlog management)</w:t>
      </w:r>
    </w:p>
    <w:p w14:paraId="3ABF36DE" w14:textId="77777777" w:rsidR="001A0A33" w:rsidRDefault="001A0A33"/>
    <w:p w14:paraId="54A8C088"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2"/>
      </w:r>
    </w:p>
    <w:p w14:paraId="68EF1219" w14:textId="77777777" w:rsidR="001A0A33" w:rsidRDefault="001A0A33">
      <w:pPr>
        <w:jc w:val="both"/>
      </w:pPr>
    </w:p>
    <w:p w14:paraId="36962A1D" w14:textId="77777777" w:rsidR="001A0A33" w:rsidRDefault="00CF13F8">
      <w:pPr>
        <w:pStyle w:val="ListParagraph"/>
        <w:numPr>
          <w:ilvl w:val="0"/>
          <w:numId w:val="2"/>
        </w:numPr>
        <w:tabs>
          <w:tab w:val="left" w:pos="469"/>
        </w:tabs>
        <w:spacing w:line="302" w:lineRule="auto"/>
        <w:ind w:right="1139"/>
        <w:jc w:val="both"/>
        <w:rPr>
          <w:b/>
          <w:sz w:val="21"/>
        </w:rPr>
      </w:pPr>
      <w:r>
        <w:rPr>
          <w:b/>
          <w:color w:val="333399"/>
          <w:sz w:val="21"/>
        </w:rPr>
        <w:t xml:space="preserve">Procedures at second instance (including </w:t>
      </w:r>
      <w:proofErr w:type="spellStart"/>
      <w:r>
        <w:rPr>
          <w:b/>
          <w:color w:val="333399"/>
          <w:sz w:val="21"/>
        </w:rPr>
        <w:t>organisation</w:t>
      </w:r>
      <w:proofErr w:type="spellEnd"/>
      <w:r>
        <w:rPr>
          <w:b/>
          <w:color w:val="333399"/>
          <w:sz w:val="21"/>
        </w:rPr>
        <w:t xml:space="preserve"> of the process, hearings, </w:t>
      </w:r>
      <w:r>
        <w:rPr>
          <w:b/>
          <w:color w:val="333399"/>
          <w:spacing w:val="-3"/>
          <w:sz w:val="21"/>
        </w:rPr>
        <w:t xml:space="preserve">written </w:t>
      </w:r>
      <w:r>
        <w:rPr>
          <w:b/>
          <w:color w:val="333399"/>
          <w:sz w:val="21"/>
        </w:rPr>
        <w:t>procedures, timeframes, case management - including backlog</w:t>
      </w:r>
      <w:r>
        <w:rPr>
          <w:b/>
          <w:color w:val="333399"/>
          <w:spacing w:val="-1"/>
          <w:sz w:val="21"/>
        </w:rPr>
        <w:t xml:space="preserve"> </w:t>
      </w:r>
      <w:r>
        <w:rPr>
          <w:b/>
          <w:color w:val="333399"/>
          <w:sz w:val="21"/>
        </w:rPr>
        <w:t>management)</w:t>
      </w:r>
    </w:p>
    <w:p w14:paraId="39DA7CFE" w14:textId="77777777" w:rsidR="001A0A33" w:rsidRDefault="001A0A33">
      <w:pPr>
        <w:jc w:val="both"/>
        <w:rPr>
          <w:rFonts w:cstheme="minorHAnsi"/>
        </w:rPr>
      </w:pPr>
    </w:p>
    <w:p w14:paraId="0DF9E9AE"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3"/>
      </w:r>
    </w:p>
    <w:p w14:paraId="47865DAD" w14:textId="77777777" w:rsidR="001A0A33" w:rsidRDefault="001A0A33">
      <w:pPr>
        <w:jc w:val="both"/>
      </w:pPr>
    </w:p>
    <w:p w14:paraId="08C488CC" w14:textId="77777777" w:rsidR="001A0A33" w:rsidRDefault="00CF13F8">
      <w:pPr>
        <w:pStyle w:val="ListParagraph"/>
        <w:numPr>
          <w:ilvl w:val="0"/>
          <w:numId w:val="2"/>
        </w:numPr>
        <w:tabs>
          <w:tab w:val="left" w:pos="469"/>
        </w:tabs>
        <w:jc w:val="both"/>
        <w:rPr>
          <w:b/>
          <w:color w:val="333399"/>
          <w:sz w:val="21"/>
        </w:rPr>
      </w:pPr>
      <w:r>
        <w:rPr>
          <w:b/>
          <w:color w:val="333399"/>
          <w:sz w:val="21"/>
        </w:rPr>
        <w:t xml:space="preserve">Availability and use of country of origin information (including </w:t>
      </w:r>
      <w:proofErr w:type="spellStart"/>
      <w:r>
        <w:rPr>
          <w:b/>
          <w:color w:val="333399"/>
          <w:sz w:val="21"/>
        </w:rPr>
        <w:t>organisation</w:t>
      </w:r>
      <w:proofErr w:type="spellEnd"/>
      <w:r>
        <w:rPr>
          <w:b/>
          <w:color w:val="333399"/>
          <w:sz w:val="21"/>
        </w:rPr>
        <w:t xml:space="preserve">, </w:t>
      </w:r>
      <w:r>
        <w:rPr>
          <w:b/>
          <w:color w:val="333399"/>
          <w:spacing w:val="-2"/>
          <w:sz w:val="21"/>
        </w:rPr>
        <w:t xml:space="preserve">methodology, </w:t>
      </w:r>
      <w:r>
        <w:rPr>
          <w:b/>
          <w:color w:val="333399"/>
          <w:sz w:val="21"/>
        </w:rPr>
        <w:t>products, databases, fact-finding missions, cooperation between stakeholders)</w:t>
      </w:r>
    </w:p>
    <w:p w14:paraId="76C0B081" w14:textId="77777777" w:rsidR="001A0A33" w:rsidRDefault="001A0A33">
      <w:pPr>
        <w:jc w:val="both"/>
      </w:pPr>
    </w:p>
    <w:p w14:paraId="5940401E"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4"/>
      </w:r>
    </w:p>
    <w:p w14:paraId="10E8B776" w14:textId="77777777" w:rsidR="001A0A33" w:rsidRDefault="001A0A33">
      <w:pPr>
        <w:jc w:val="both"/>
      </w:pPr>
    </w:p>
    <w:p w14:paraId="4AD2E74F" w14:textId="77777777" w:rsidR="001A0A33" w:rsidRDefault="00CF13F8">
      <w:pPr>
        <w:pStyle w:val="ListParagraph"/>
        <w:numPr>
          <w:ilvl w:val="0"/>
          <w:numId w:val="2"/>
        </w:numPr>
        <w:tabs>
          <w:tab w:val="left" w:pos="469"/>
        </w:tabs>
        <w:jc w:val="both"/>
        <w:rPr>
          <w:b/>
          <w:color w:val="333399"/>
          <w:sz w:val="21"/>
        </w:rPr>
      </w:pPr>
      <w:r>
        <w:rPr>
          <w:b/>
          <w:color w:val="333399"/>
          <w:sz w:val="21"/>
        </w:rPr>
        <w:lastRenderedPageBreak/>
        <w:t xml:space="preserve">Vulnerable applicants (including definitions, special reception facilities, identification mechanisms/referrals, procedural standards, provision of information, age assessment, </w:t>
      </w:r>
      <w:r>
        <w:rPr>
          <w:b/>
          <w:color w:val="333399"/>
          <w:spacing w:val="-4"/>
          <w:sz w:val="21"/>
        </w:rPr>
        <w:t xml:space="preserve">legal </w:t>
      </w:r>
      <w:proofErr w:type="gramStart"/>
      <w:r>
        <w:rPr>
          <w:b/>
          <w:color w:val="333399"/>
          <w:sz w:val="21"/>
        </w:rPr>
        <w:t>guardianship</w:t>
      </w:r>
      <w:proofErr w:type="gramEnd"/>
      <w:r>
        <w:rPr>
          <w:b/>
          <w:color w:val="333399"/>
          <w:sz w:val="21"/>
        </w:rPr>
        <w:t xml:space="preserve"> and foster care for unaccompanied and separated</w:t>
      </w:r>
      <w:r>
        <w:rPr>
          <w:b/>
          <w:color w:val="333399"/>
          <w:spacing w:val="-1"/>
          <w:sz w:val="21"/>
        </w:rPr>
        <w:t xml:space="preserve"> </w:t>
      </w:r>
      <w:r>
        <w:rPr>
          <w:b/>
          <w:color w:val="333399"/>
          <w:sz w:val="21"/>
        </w:rPr>
        <w:t>children)</w:t>
      </w:r>
    </w:p>
    <w:p w14:paraId="18009971" w14:textId="77777777" w:rsidR="001A0A33" w:rsidRDefault="001A0A33">
      <w:pPr>
        <w:tabs>
          <w:tab w:val="left" w:pos="469"/>
        </w:tabs>
        <w:jc w:val="both"/>
        <w:rPr>
          <w:b/>
          <w:color w:val="333399"/>
          <w:sz w:val="21"/>
        </w:rPr>
      </w:pPr>
    </w:p>
    <w:p w14:paraId="6A0B526C"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5"/>
      </w:r>
    </w:p>
    <w:p w14:paraId="4F65F949" w14:textId="77777777" w:rsidR="001A0A33" w:rsidRDefault="001A0A33">
      <w:pPr>
        <w:tabs>
          <w:tab w:val="left" w:pos="469"/>
        </w:tabs>
        <w:jc w:val="both"/>
        <w:rPr>
          <w:b/>
          <w:color w:val="333399"/>
          <w:sz w:val="21"/>
        </w:rPr>
      </w:pPr>
    </w:p>
    <w:p w14:paraId="16194F9F" w14:textId="77777777" w:rsidR="001A0A33" w:rsidRDefault="00CF13F8">
      <w:pPr>
        <w:pStyle w:val="ListParagraph"/>
        <w:numPr>
          <w:ilvl w:val="0"/>
          <w:numId w:val="2"/>
        </w:numPr>
        <w:tabs>
          <w:tab w:val="left" w:pos="644"/>
        </w:tabs>
        <w:spacing w:after="3" w:line="302" w:lineRule="auto"/>
        <w:ind w:right="380"/>
        <w:jc w:val="both"/>
        <w:rPr>
          <w:b/>
          <w:sz w:val="21"/>
        </w:rPr>
      </w:pPr>
      <w:r>
        <w:rPr>
          <w:b/>
          <w:color w:val="333399"/>
          <w:sz w:val="21"/>
        </w:rPr>
        <w:t xml:space="preserve">Content of protection (including access to social security, social assistance, healthcare, housing and other basic services; integration into the </w:t>
      </w:r>
      <w:proofErr w:type="spellStart"/>
      <w:r>
        <w:rPr>
          <w:b/>
          <w:color w:val="333399"/>
          <w:sz w:val="21"/>
        </w:rPr>
        <w:t>labour</w:t>
      </w:r>
      <w:proofErr w:type="spellEnd"/>
      <w:r>
        <w:rPr>
          <w:b/>
          <w:color w:val="333399"/>
          <w:sz w:val="21"/>
        </w:rPr>
        <w:t xml:space="preserve"> market; measures to enhance language skills; measures to improve attainment in schooling and/or the education system </w:t>
      </w:r>
      <w:r>
        <w:rPr>
          <w:b/>
          <w:color w:val="333399"/>
          <w:spacing w:val="-3"/>
          <w:sz w:val="21"/>
        </w:rPr>
        <w:t xml:space="preserve">and/or </w:t>
      </w:r>
      <w:r>
        <w:rPr>
          <w:b/>
          <w:color w:val="333399"/>
          <w:sz w:val="21"/>
        </w:rPr>
        <w:t>vocational training)</w:t>
      </w:r>
    </w:p>
    <w:p w14:paraId="64104207" w14:textId="77777777" w:rsidR="001A0A33" w:rsidRDefault="001A0A33">
      <w:pPr>
        <w:jc w:val="both"/>
      </w:pPr>
    </w:p>
    <w:p w14:paraId="5EC1FA61"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6"/>
      </w:r>
    </w:p>
    <w:p w14:paraId="52AF5466" w14:textId="77777777" w:rsidR="001A0A33" w:rsidRDefault="001A0A33">
      <w:pPr>
        <w:tabs>
          <w:tab w:val="left" w:pos="644"/>
        </w:tabs>
        <w:spacing w:after="3" w:line="302" w:lineRule="auto"/>
        <w:ind w:right="380"/>
        <w:jc w:val="both"/>
        <w:rPr>
          <w:b/>
          <w:sz w:val="21"/>
        </w:rPr>
      </w:pPr>
    </w:p>
    <w:p w14:paraId="2B459BE1" w14:textId="77777777" w:rsidR="001A0A33" w:rsidRDefault="00CF13F8">
      <w:pPr>
        <w:pStyle w:val="ListParagraph"/>
        <w:numPr>
          <w:ilvl w:val="0"/>
          <w:numId w:val="2"/>
        </w:numPr>
        <w:tabs>
          <w:tab w:val="left" w:pos="469"/>
        </w:tabs>
        <w:jc w:val="both"/>
        <w:rPr>
          <w:b/>
          <w:color w:val="333399"/>
          <w:sz w:val="21"/>
        </w:rPr>
      </w:pPr>
      <w:r>
        <w:rPr>
          <w:b/>
          <w:color w:val="333399"/>
          <w:sz w:val="21"/>
        </w:rPr>
        <w:t>Return of former applicants for international protection</w:t>
      </w:r>
    </w:p>
    <w:p w14:paraId="2879E3E0" w14:textId="77777777" w:rsidR="001A0A33" w:rsidRDefault="001A0A33"/>
    <w:p w14:paraId="6727D9BF"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7"/>
      </w:r>
    </w:p>
    <w:p w14:paraId="7ED95843" w14:textId="77777777" w:rsidR="001A0A33" w:rsidRDefault="001A0A33">
      <w:pPr>
        <w:jc w:val="both"/>
      </w:pPr>
    </w:p>
    <w:p w14:paraId="731C0769" w14:textId="77777777" w:rsidR="001A0A33" w:rsidRDefault="00CF13F8">
      <w:pPr>
        <w:pStyle w:val="ListParagraph"/>
        <w:numPr>
          <w:ilvl w:val="0"/>
          <w:numId w:val="2"/>
        </w:numPr>
        <w:tabs>
          <w:tab w:val="left" w:pos="644"/>
        </w:tabs>
        <w:spacing w:line="302" w:lineRule="auto"/>
        <w:ind w:right="836"/>
        <w:jc w:val="both"/>
        <w:rPr>
          <w:b/>
          <w:sz w:val="21"/>
        </w:rPr>
      </w:pPr>
      <w:r>
        <w:rPr>
          <w:b/>
          <w:color w:val="333399"/>
          <w:sz w:val="21"/>
        </w:rPr>
        <w:t xml:space="preserve">Resettlement and humanitarian admission </w:t>
      </w:r>
      <w:proofErr w:type="spellStart"/>
      <w:r>
        <w:rPr>
          <w:b/>
          <w:color w:val="333399"/>
          <w:sz w:val="21"/>
        </w:rPr>
        <w:t>programmes</w:t>
      </w:r>
      <w:proofErr w:type="spellEnd"/>
      <w:r>
        <w:rPr>
          <w:b/>
          <w:color w:val="333399"/>
          <w:sz w:val="21"/>
        </w:rPr>
        <w:t xml:space="preserve"> (including EU Joint </w:t>
      </w:r>
      <w:r>
        <w:rPr>
          <w:b/>
          <w:color w:val="333399"/>
          <w:spacing w:val="-2"/>
          <w:sz w:val="21"/>
        </w:rPr>
        <w:t xml:space="preserve">Resettlement </w:t>
      </w:r>
      <w:r>
        <w:rPr>
          <w:b/>
          <w:color w:val="333399"/>
          <w:sz w:val="21"/>
        </w:rPr>
        <w:t xml:space="preserve">Programme, national resettlement </w:t>
      </w:r>
      <w:proofErr w:type="spellStart"/>
      <w:r>
        <w:rPr>
          <w:b/>
          <w:color w:val="333399"/>
          <w:sz w:val="21"/>
        </w:rPr>
        <w:t>programme</w:t>
      </w:r>
      <w:proofErr w:type="spellEnd"/>
      <w:r>
        <w:rPr>
          <w:b/>
          <w:color w:val="333399"/>
          <w:sz w:val="21"/>
        </w:rPr>
        <w:t xml:space="preserve"> (UNHCR), National Humanitarian Admission Programme, private sponsorship </w:t>
      </w:r>
      <w:proofErr w:type="spellStart"/>
      <w:r>
        <w:rPr>
          <w:b/>
          <w:color w:val="333399"/>
          <w:sz w:val="21"/>
        </w:rPr>
        <w:t>programmes</w:t>
      </w:r>
      <w:proofErr w:type="spellEnd"/>
      <w:r>
        <w:rPr>
          <w:b/>
          <w:color w:val="333399"/>
          <w:sz w:val="21"/>
        </w:rPr>
        <w:t>/schemes and ad hoc special</w:t>
      </w:r>
      <w:r>
        <w:rPr>
          <w:b/>
          <w:color w:val="333399"/>
          <w:spacing w:val="-1"/>
          <w:sz w:val="21"/>
        </w:rPr>
        <w:t xml:space="preserve"> </w:t>
      </w:r>
      <w:proofErr w:type="spellStart"/>
      <w:r>
        <w:rPr>
          <w:b/>
          <w:color w:val="333399"/>
          <w:sz w:val="21"/>
        </w:rPr>
        <w:t>programmes</w:t>
      </w:r>
      <w:proofErr w:type="spellEnd"/>
      <w:r>
        <w:rPr>
          <w:b/>
          <w:color w:val="333399"/>
          <w:sz w:val="21"/>
        </w:rPr>
        <w:t>)</w:t>
      </w:r>
    </w:p>
    <w:p w14:paraId="155537C4" w14:textId="77777777" w:rsidR="001A0A33" w:rsidRDefault="001A0A33">
      <w:pPr>
        <w:tabs>
          <w:tab w:val="left" w:pos="644"/>
        </w:tabs>
        <w:spacing w:line="302" w:lineRule="auto"/>
        <w:ind w:right="836"/>
        <w:jc w:val="both"/>
        <w:rPr>
          <w:rFonts w:cstheme="minorHAnsi"/>
          <w:b/>
          <w:sz w:val="21"/>
        </w:rPr>
      </w:pPr>
    </w:p>
    <w:p w14:paraId="01490DFC"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8"/>
      </w:r>
    </w:p>
    <w:p w14:paraId="6AAA1D5D" w14:textId="77777777" w:rsidR="001A0A33" w:rsidRDefault="001A0A33">
      <w:pPr>
        <w:tabs>
          <w:tab w:val="left" w:pos="644"/>
        </w:tabs>
        <w:spacing w:line="302" w:lineRule="auto"/>
        <w:ind w:right="836"/>
        <w:jc w:val="both"/>
        <w:rPr>
          <w:b/>
          <w:sz w:val="21"/>
        </w:rPr>
      </w:pPr>
    </w:p>
    <w:p w14:paraId="1B35680F" w14:textId="77777777" w:rsidR="001A0A33" w:rsidRDefault="00CF13F8">
      <w:pPr>
        <w:pStyle w:val="ListParagraph"/>
        <w:numPr>
          <w:ilvl w:val="0"/>
          <w:numId w:val="2"/>
        </w:numPr>
        <w:tabs>
          <w:tab w:val="left" w:pos="586"/>
        </w:tabs>
        <w:spacing w:before="113" w:after="4" w:line="302" w:lineRule="auto"/>
        <w:ind w:right="322"/>
        <w:jc w:val="both"/>
        <w:rPr>
          <w:b/>
          <w:sz w:val="21"/>
        </w:rPr>
      </w:pPr>
      <w:r>
        <w:rPr>
          <w:b/>
          <w:color w:val="333399"/>
          <w:sz w:val="21"/>
        </w:rPr>
        <w:t xml:space="preserve">Relocation (ad hoc, emergency relocation; developments in activities </w:t>
      </w:r>
      <w:proofErr w:type="spellStart"/>
      <w:r>
        <w:rPr>
          <w:b/>
          <w:color w:val="333399"/>
          <w:sz w:val="21"/>
        </w:rPr>
        <w:t>organised</w:t>
      </w:r>
      <w:proofErr w:type="spellEnd"/>
      <w:r>
        <w:rPr>
          <w:b/>
          <w:color w:val="333399"/>
          <w:sz w:val="21"/>
        </w:rPr>
        <w:t xml:space="preserve"> under </w:t>
      </w:r>
      <w:r>
        <w:rPr>
          <w:b/>
          <w:color w:val="333399"/>
          <w:spacing w:val="-3"/>
          <w:sz w:val="21"/>
        </w:rPr>
        <w:t xml:space="preserve">national </w:t>
      </w:r>
      <w:r>
        <w:rPr>
          <w:b/>
          <w:color w:val="333399"/>
          <w:sz w:val="21"/>
        </w:rPr>
        <w:t>schemes or on a bilateral basis)</w:t>
      </w:r>
    </w:p>
    <w:p w14:paraId="6AE5BC45" w14:textId="77777777" w:rsidR="001A0A33" w:rsidRDefault="001A0A33">
      <w:pPr>
        <w:jc w:val="both"/>
        <w:rPr>
          <w:rFonts w:cstheme="minorHAnsi"/>
        </w:rPr>
      </w:pPr>
    </w:p>
    <w:p w14:paraId="0A74A572"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59"/>
      </w:r>
    </w:p>
    <w:p w14:paraId="37FBBBFD" w14:textId="77777777" w:rsidR="001A0A33" w:rsidRDefault="001A0A33">
      <w:pPr>
        <w:jc w:val="both"/>
      </w:pPr>
    </w:p>
    <w:p w14:paraId="4F67ADE1" w14:textId="77777777" w:rsidR="001A0A33" w:rsidRDefault="00CF13F8">
      <w:pPr>
        <w:pStyle w:val="ListParagraph"/>
        <w:numPr>
          <w:ilvl w:val="0"/>
          <w:numId w:val="2"/>
        </w:numPr>
        <w:tabs>
          <w:tab w:val="left" w:pos="644"/>
        </w:tabs>
        <w:spacing w:after="4" w:line="302" w:lineRule="auto"/>
        <w:ind w:right="310"/>
        <w:jc w:val="both"/>
        <w:rPr>
          <w:b/>
          <w:sz w:val="21"/>
        </w:rPr>
      </w:pPr>
      <w:r>
        <w:rPr>
          <w:b/>
          <w:color w:val="333399"/>
          <w:sz w:val="21"/>
        </w:rPr>
        <w:t xml:space="preserve">National jurisprudence on international protection in 2020 (please include a link to the </w:t>
      </w:r>
      <w:r>
        <w:rPr>
          <w:b/>
          <w:color w:val="333399"/>
          <w:spacing w:val="-3"/>
          <w:sz w:val="21"/>
        </w:rPr>
        <w:t xml:space="preserve">relevant </w:t>
      </w:r>
      <w:r>
        <w:rPr>
          <w:b/>
          <w:color w:val="333399"/>
          <w:sz w:val="21"/>
        </w:rPr>
        <w:t>case law and/or submit cases to the</w:t>
      </w:r>
      <w:r>
        <w:rPr>
          <w:b/>
          <w:color w:val="0068D6"/>
          <w:sz w:val="21"/>
        </w:rPr>
        <w:t xml:space="preserve"> </w:t>
      </w:r>
      <w:hyperlink r:id="rId10">
        <w:r>
          <w:rPr>
            <w:b/>
            <w:color w:val="0068D6"/>
            <w:sz w:val="21"/>
            <w:u w:val="single" w:color="0068D6"/>
          </w:rPr>
          <w:t>EASO Case Law</w:t>
        </w:r>
        <w:r>
          <w:rPr>
            <w:b/>
            <w:color w:val="0068D6"/>
            <w:spacing w:val="2"/>
            <w:sz w:val="21"/>
            <w:u w:val="single" w:color="0068D6"/>
          </w:rPr>
          <w:t xml:space="preserve"> </w:t>
        </w:r>
        <w:r>
          <w:rPr>
            <w:b/>
            <w:color w:val="0068D6"/>
            <w:sz w:val="21"/>
            <w:u w:val="single" w:color="0068D6"/>
          </w:rPr>
          <w:t>Database</w:t>
        </w:r>
      </w:hyperlink>
      <w:r>
        <w:rPr>
          <w:b/>
          <w:color w:val="333399"/>
          <w:sz w:val="21"/>
        </w:rPr>
        <w:t>)</w:t>
      </w:r>
    </w:p>
    <w:p w14:paraId="578669D4" w14:textId="77777777" w:rsidR="001A0A33" w:rsidRDefault="001A0A33">
      <w:pPr>
        <w:jc w:val="both"/>
        <w:rPr>
          <w:rFonts w:cstheme="minorHAnsi"/>
        </w:rPr>
      </w:pPr>
    </w:p>
    <w:p w14:paraId="5A96C2BB"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60"/>
      </w:r>
    </w:p>
    <w:p w14:paraId="64B95C2B" w14:textId="77777777" w:rsidR="001A0A33" w:rsidRDefault="001A0A33">
      <w:pPr>
        <w:jc w:val="both"/>
      </w:pPr>
    </w:p>
    <w:p w14:paraId="3611CE77" w14:textId="77777777" w:rsidR="001A0A33" w:rsidRDefault="00CF13F8">
      <w:pPr>
        <w:pStyle w:val="ListParagraph"/>
        <w:numPr>
          <w:ilvl w:val="0"/>
          <w:numId w:val="2"/>
        </w:numPr>
        <w:tabs>
          <w:tab w:val="left" w:pos="469"/>
        </w:tabs>
        <w:jc w:val="both"/>
        <w:rPr>
          <w:b/>
          <w:color w:val="333399"/>
          <w:sz w:val="21"/>
        </w:rPr>
      </w:pPr>
      <w:r>
        <w:rPr>
          <w:b/>
          <w:color w:val="333399"/>
          <w:sz w:val="21"/>
        </w:rPr>
        <w:lastRenderedPageBreak/>
        <w:t>Other important developments in 2020</w:t>
      </w:r>
    </w:p>
    <w:p w14:paraId="642A73D6" w14:textId="77777777" w:rsidR="001A0A33" w:rsidRDefault="001A0A33">
      <w:pPr>
        <w:tabs>
          <w:tab w:val="left" w:pos="469"/>
        </w:tabs>
        <w:rPr>
          <w:b/>
          <w:color w:val="333399"/>
          <w:sz w:val="21"/>
        </w:rPr>
      </w:pPr>
    </w:p>
    <w:p w14:paraId="4BAAB2F5" w14:textId="77777777" w:rsidR="001A0A33" w:rsidRDefault="00CF13F8">
      <w:pPr>
        <w:spacing w:after="0" w:line="276" w:lineRule="auto"/>
        <w:jc w:val="both"/>
        <w:rPr>
          <w:rFonts w:cstheme="minorHAnsi"/>
        </w:rPr>
      </w:pPr>
      <w:r>
        <w:rPr>
          <w:rFonts w:cstheme="minorHAnsi"/>
        </w:rPr>
        <w:t>Information can be found in the ECRE's AIDA Country report on Poland.</w:t>
      </w:r>
      <w:r>
        <w:rPr>
          <w:rStyle w:val="Zakotwiczenieprzypisudolnego"/>
          <w:rFonts w:cstheme="minorHAnsi"/>
        </w:rPr>
        <w:footnoteReference w:id="61"/>
      </w:r>
    </w:p>
    <w:p w14:paraId="6EA02F27" w14:textId="77777777" w:rsidR="001A0A33" w:rsidRDefault="001A0A33">
      <w:pPr>
        <w:tabs>
          <w:tab w:val="left" w:pos="469"/>
        </w:tabs>
        <w:rPr>
          <w:b/>
          <w:color w:val="333399"/>
          <w:sz w:val="21"/>
        </w:rPr>
      </w:pPr>
    </w:p>
    <w:p w14:paraId="123DD652" w14:textId="77777777" w:rsidR="001A0A33" w:rsidRDefault="001A0A33">
      <w:pPr>
        <w:tabs>
          <w:tab w:val="left" w:pos="469"/>
        </w:tabs>
        <w:rPr>
          <w:b/>
          <w:color w:val="333399"/>
          <w:sz w:val="21"/>
        </w:rPr>
      </w:pPr>
    </w:p>
    <w:p w14:paraId="6953B1AC" w14:textId="77777777" w:rsidR="001A0A33" w:rsidRDefault="00CF13F8">
      <w:pPr>
        <w:widowControl w:val="0"/>
        <w:spacing w:before="1" w:after="0" w:line="240" w:lineRule="auto"/>
        <w:ind w:left="235"/>
        <w:outlineLvl w:val="0"/>
        <w:rPr>
          <w:rFonts w:ascii="Arial Unicode MS" w:eastAsia="Arial Unicode MS" w:hAnsi="Arial Unicode MS" w:cs="Arial Unicode MS"/>
          <w:sz w:val="30"/>
          <w:szCs w:val="30"/>
          <w:lang w:val="en-US"/>
        </w:rPr>
      </w:pPr>
      <w:r>
        <w:rPr>
          <w:noProof/>
          <w:lang w:val="pl-PL" w:eastAsia="pl-PL"/>
        </w:rPr>
        <mc:AlternateContent>
          <mc:Choice Requires="wps">
            <w:drawing>
              <wp:anchor distT="0" distB="0" distL="0" distR="0" simplePos="0" relativeHeight="4" behindDoc="0" locked="0" layoutInCell="0" allowOverlap="1" wp14:anchorId="10711256" wp14:editId="5CD91541">
                <wp:simplePos x="0" y="0"/>
                <wp:positionH relativeFrom="page">
                  <wp:posOffset>695325</wp:posOffset>
                </wp:positionH>
                <wp:positionV relativeFrom="paragraph">
                  <wp:posOffset>328295</wp:posOffset>
                </wp:positionV>
                <wp:extent cx="6382385" cy="635"/>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381720" cy="0"/>
                        </a:xfrm>
                        <a:prstGeom prst="line">
                          <a:avLst/>
                        </a:prstGeom>
                        <a:ln w="19050">
                          <a:solidFill>
                            <a:srgbClr val="004E98"/>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4.75pt,25.85pt" to="557.2pt,25.85pt" ID="Straight Connector 3" stroked="t" style="position:absolute;mso-position-horizontal-relative:page" wp14:anchorId="3AED5213">
                <v:stroke color="#004e98" weight="19080" joinstyle="round" endcap="flat"/>
                <v:fill o:detectmouseclick="t" on="false"/>
                <w10:wrap type="none"/>
              </v:line>
            </w:pict>
          </mc:Fallback>
        </mc:AlternateContent>
      </w:r>
      <w:r>
        <w:rPr>
          <w:rFonts w:ascii="Arial Unicode MS" w:eastAsia="Arial Unicode MS" w:hAnsi="Arial Unicode MS" w:cs="Arial Unicode MS"/>
          <w:color w:val="004E98"/>
          <w:sz w:val="30"/>
          <w:szCs w:val="30"/>
          <w:lang w:val="en-US"/>
        </w:rPr>
        <w:t>References and sources</w:t>
      </w:r>
    </w:p>
    <w:p w14:paraId="4AD401EE" w14:textId="77777777" w:rsidR="001A0A33" w:rsidRDefault="001A0A33">
      <w:pPr>
        <w:tabs>
          <w:tab w:val="left" w:pos="469"/>
        </w:tabs>
        <w:jc w:val="both"/>
        <w:rPr>
          <w:b/>
          <w:color w:val="333399"/>
          <w:sz w:val="21"/>
        </w:rPr>
      </w:pPr>
    </w:p>
    <w:p w14:paraId="425AD742" w14:textId="77777777" w:rsidR="001A0A33" w:rsidRDefault="00CF13F8">
      <w:pPr>
        <w:pStyle w:val="NoSpacing"/>
        <w:numPr>
          <w:ilvl w:val="0"/>
          <w:numId w:val="2"/>
        </w:numPr>
        <w:jc w:val="both"/>
      </w:pPr>
      <w:r>
        <w:rPr>
          <w:rFonts w:ascii="Arial" w:eastAsia="Arial" w:hAnsi="Arial" w:cs="Arial"/>
          <w:b/>
          <w:color w:val="333399"/>
          <w:sz w:val="21"/>
          <w:lang w:val="en-US"/>
        </w:rPr>
        <w:t>Please provide links to references and sources and/or upload the related material in PDF</w:t>
      </w:r>
      <w:r>
        <w:rPr>
          <w:rFonts w:ascii="Arial" w:eastAsia="Arial" w:hAnsi="Arial" w:cs="Arial"/>
          <w:b/>
          <w:color w:val="333399"/>
          <w:spacing w:val="-1"/>
          <w:sz w:val="21"/>
          <w:lang w:val="en-US"/>
        </w:rPr>
        <w:t xml:space="preserve"> </w:t>
      </w:r>
      <w:r>
        <w:rPr>
          <w:rFonts w:ascii="Arial" w:eastAsia="Arial" w:hAnsi="Arial" w:cs="Arial"/>
          <w:b/>
          <w:color w:val="333399"/>
          <w:sz w:val="21"/>
          <w:lang w:val="en-US"/>
        </w:rPr>
        <w:t>format</w:t>
      </w:r>
    </w:p>
    <w:p w14:paraId="3200E9FA" w14:textId="77777777" w:rsidR="001A0A33" w:rsidRDefault="001A0A33">
      <w:pPr>
        <w:jc w:val="both"/>
        <w:rPr>
          <w:lang w:val="en-US"/>
        </w:rPr>
      </w:pPr>
    </w:p>
    <w:p w14:paraId="681CDDFB" w14:textId="77777777" w:rsidR="001A0A33" w:rsidRDefault="0094435E">
      <w:pPr>
        <w:pStyle w:val="FootnoteText"/>
        <w:numPr>
          <w:ilvl w:val="0"/>
          <w:numId w:val="3"/>
        </w:numPr>
        <w:jc w:val="both"/>
        <w:rPr>
          <w:rFonts w:asciiTheme="minorHAnsi" w:hAnsiTheme="minorHAnsi" w:cstheme="minorHAnsi"/>
          <w:lang w:val="pl-PL"/>
        </w:rPr>
      </w:pPr>
      <w:r>
        <w:rPr>
          <w:rFonts w:cstheme="minorHAnsi"/>
        </w:rPr>
        <w:t xml:space="preserve">ECtHR, </w:t>
      </w:r>
      <w:proofErr w:type="spellStart"/>
      <w:r>
        <w:rPr>
          <w:rFonts w:cstheme="minorHAnsi"/>
        </w:rPr>
        <w:t>Bilalova</w:t>
      </w:r>
      <w:proofErr w:type="spellEnd"/>
      <w:r>
        <w:rPr>
          <w:rFonts w:cstheme="minorHAnsi"/>
        </w:rPr>
        <w:t xml:space="preserve"> and Others v</w:t>
      </w:r>
      <w:r w:rsidR="00CF13F8">
        <w:rPr>
          <w:rFonts w:cstheme="minorHAnsi"/>
        </w:rPr>
        <w:t xml:space="preserve">. Poland, application no. 23685/14, available at: </w:t>
      </w:r>
      <w:hyperlink r:id="rId11">
        <w:r w:rsidR="00CF13F8">
          <w:rPr>
            <w:rStyle w:val="czeinternetowe"/>
            <w:rFonts w:cstheme="minorHAnsi"/>
          </w:rPr>
          <w:t>http://hudoc.echr.coe.int/eng?i=001-201895</w:t>
        </w:r>
      </w:hyperlink>
      <w:r w:rsidR="00CF13F8">
        <w:rPr>
          <w:rFonts w:cstheme="minorHAnsi"/>
        </w:rPr>
        <w:t xml:space="preserve"> </w:t>
      </w:r>
    </w:p>
    <w:p w14:paraId="367CCEEF" w14:textId="77777777" w:rsidR="001A0A33" w:rsidRDefault="00CF13F8">
      <w:pPr>
        <w:pStyle w:val="FootnoteText"/>
        <w:numPr>
          <w:ilvl w:val="0"/>
          <w:numId w:val="3"/>
        </w:numPr>
        <w:jc w:val="both"/>
        <w:rPr>
          <w:rFonts w:asciiTheme="minorHAnsi" w:hAnsiTheme="minorHAnsi" w:cstheme="minorHAnsi"/>
          <w:lang w:val="pl-PL"/>
        </w:rPr>
      </w:pPr>
      <w:r>
        <w:rPr>
          <w:rFonts w:cstheme="minorHAnsi"/>
        </w:rPr>
        <w:t>EC</w:t>
      </w:r>
      <w:r w:rsidR="0094435E">
        <w:rPr>
          <w:rFonts w:cstheme="minorHAnsi"/>
        </w:rPr>
        <w:t xml:space="preserve">tHR, A.B. and Others v. Poland, </w:t>
      </w:r>
      <w:r>
        <w:rPr>
          <w:rFonts w:cstheme="minorHAnsi"/>
        </w:rPr>
        <w:t>applica</w:t>
      </w:r>
      <w:r w:rsidR="0094435E">
        <w:rPr>
          <w:rFonts w:cstheme="minorHAnsi"/>
        </w:rPr>
        <w:t>tions no. 15845/15 and 56300/15</w:t>
      </w:r>
      <w:r>
        <w:rPr>
          <w:rFonts w:cstheme="minorHAnsi"/>
        </w:rPr>
        <w:t xml:space="preserve">, available at: </w:t>
      </w:r>
      <w:hyperlink r:id="rId12">
        <w:r>
          <w:rPr>
            <w:rStyle w:val="czeinternetowe"/>
            <w:rFonts w:cstheme="minorHAnsi"/>
          </w:rPr>
          <w:t>http://hudoc.echr.coe.int/eng?i=001-202693</w:t>
        </w:r>
      </w:hyperlink>
      <w:r>
        <w:rPr>
          <w:rFonts w:cstheme="minorHAnsi"/>
        </w:rPr>
        <w:t xml:space="preserve"> </w:t>
      </w:r>
    </w:p>
    <w:p w14:paraId="6D1B7E1D" w14:textId="77777777" w:rsidR="001A0A33" w:rsidRDefault="00CF13F8">
      <w:pPr>
        <w:pStyle w:val="FootnoteText"/>
        <w:numPr>
          <w:ilvl w:val="0"/>
          <w:numId w:val="3"/>
        </w:numPr>
        <w:jc w:val="both"/>
        <w:rPr>
          <w:rFonts w:asciiTheme="minorHAnsi" w:hAnsiTheme="minorHAnsi" w:cstheme="minorHAnsi"/>
          <w:lang w:val="pl-PL"/>
        </w:rPr>
      </w:pPr>
      <w:r>
        <w:rPr>
          <w:rFonts w:cstheme="minorHAnsi"/>
        </w:rPr>
        <w:t xml:space="preserve">ECtHR, </w:t>
      </w:r>
      <w:proofErr w:type="spellStart"/>
      <w:r>
        <w:rPr>
          <w:rFonts w:cstheme="minorHAnsi"/>
        </w:rPr>
        <w:t>Bistieva</w:t>
      </w:r>
      <w:proofErr w:type="spellEnd"/>
      <w:r>
        <w:rPr>
          <w:rFonts w:cstheme="minorHAnsi"/>
        </w:rPr>
        <w:t xml:space="preserve"> and Others v. Poland, application no. 75157/14, available at: </w:t>
      </w:r>
      <w:hyperlink r:id="rId13">
        <w:r>
          <w:rPr>
            <w:rStyle w:val="czeinternetowe"/>
            <w:rFonts w:cstheme="minorHAnsi"/>
          </w:rPr>
          <w:t>http://hudoc.echr.coe.int/eng?i=001-182210</w:t>
        </w:r>
      </w:hyperlink>
      <w:r>
        <w:rPr>
          <w:rFonts w:cstheme="minorHAnsi"/>
        </w:rPr>
        <w:t xml:space="preserve"> </w:t>
      </w:r>
    </w:p>
    <w:p w14:paraId="52C20FD3" w14:textId="77777777" w:rsidR="001A0A33" w:rsidRDefault="00CF13F8">
      <w:pPr>
        <w:pStyle w:val="FootnoteText"/>
        <w:numPr>
          <w:ilvl w:val="0"/>
          <w:numId w:val="3"/>
        </w:numPr>
        <w:jc w:val="both"/>
        <w:rPr>
          <w:rFonts w:asciiTheme="minorHAnsi" w:hAnsiTheme="minorHAnsi" w:cstheme="minorHAnsi"/>
          <w:lang w:val="en-US"/>
        </w:rPr>
      </w:pPr>
      <w:r>
        <w:rPr>
          <w:rFonts w:cstheme="minorHAnsi"/>
          <w:lang w:val="en-US"/>
        </w:rPr>
        <w:t xml:space="preserve">ECtHR, M.K. and Others v. Poland, </w:t>
      </w:r>
      <w:r w:rsidR="0094435E">
        <w:rPr>
          <w:rFonts w:cstheme="minorHAnsi"/>
          <w:lang w:val="en-US"/>
        </w:rPr>
        <w:t>application n</w:t>
      </w:r>
      <w:r>
        <w:rPr>
          <w:rFonts w:cstheme="minorHAnsi"/>
          <w:lang w:val="en-US"/>
        </w:rPr>
        <w:t xml:space="preserve">os. 40503/17, 42902/17, 43643/17, available at: </w:t>
      </w:r>
      <w:hyperlink r:id="rId14">
        <w:r>
          <w:rPr>
            <w:rStyle w:val="czeinternetowe"/>
            <w:rFonts w:cstheme="minorHAnsi"/>
            <w:lang w:val="en-US"/>
          </w:rPr>
          <w:t>http://hudoc.echr.coe.int/eng?i=001-203840</w:t>
        </w:r>
      </w:hyperlink>
      <w:r>
        <w:rPr>
          <w:rFonts w:cstheme="minorHAnsi"/>
          <w:lang w:val="en-US"/>
        </w:rPr>
        <w:t xml:space="preserve"> </w:t>
      </w:r>
    </w:p>
    <w:p w14:paraId="79E60411" w14:textId="77777777" w:rsidR="001A0A33" w:rsidRDefault="00CF13F8">
      <w:pPr>
        <w:pStyle w:val="FootnoteText"/>
        <w:numPr>
          <w:ilvl w:val="0"/>
          <w:numId w:val="3"/>
        </w:numPr>
        <w:jc w:val="both"/>
        <w:rPr>
          <w:rFonts w:asciiTheme="minorHAnsi" w:hAnsiTheme="minorHAnsi" w:cstheme="minorHAnsi"/>
          <w:lang w:val="en-US"/>
        </w:rPr>
      </w:pPr>
      <w:r>
        <w:rPr>
          <w:rFonts w:cstheme="minorHAnsi"/>
          <w:lang w:val="en-US"/>
        </w:rPr>
        <w:t>ECt</w:t>
      </w:r>
      <w:r w:rsidR="0094435E">
        <w:rPr>
          <w:rFonts w:cstheme="minorHAnsi"/>
          <w:lang w:val="en-US"/>
        </w:rPr>
        <w:t>HR, D.A. and Others v. Poland, a</w:t>
      </w:r>
      <w:r>
        <w:rPr>
          <w:rFonts w:cstheme="minorHAnsi"/>
          <w:lang w:val="en-US"/>
        </w:rPr>
        <w:t>pplicati</w:t>
      </w:r>
      <w:r w:rsidR="0094435E">
        <w:rPr>
          <w:rFonts w:cstheme="minorHAnsi"/>
          <w:lang w:val="en-US"/>
        </w:rPr>
        <w:t xml:space="preserve">on no. 51246/17, </w:t>
      </w:r>
      <w:r>
        <w:rPr>
          <w:rFonts w:cstheme="minorHAnsi"/>
          <w:lang w:val="en-US"/>
        </w:rPr>
        <w:t xml:space="preserve">available at: </w:t>
      </w:r>
      <w:hyperlink r:id="rId15">
        <w:r>
          <w:rPr>
            <w:rStyle w:val="czeinternetowe"/>
            <w:rFonts w:cstheme="minorHAnsi"/>
            <w:lang w:val="en-US"/>
          </w:rPr>
          <w:t>http://hudoc.echr.coe.int/eng?i=001-177298</w:t>
        </w:r>
      </w:hyperlink>
      <w:r>
        <w:rPr>
          <w:rFonts w:cstheme="minorHAnsi"/>
          <w:lang w:val="en-US"/>
        </w:rPr>
        <w:t xml:space="preserve"> </w:t>
      </w:r>
    </w:p>
    <w:p w14:paraId="0836E808" w14:textId="77777777" w:rsidR="001A0A33" w:rsidRDefault="00CF13F8">
      <w:pPr>
        <w:pStyle w:val="FootnoteText"/>
        <w:numPr>
          <w:ilvl w:val="0"/>
          <w:numId w:val="3"/>
        </w:numPr>
        <w:jc w:val="both"/>
        <w:rPr>
          <w:rStyle w:val="czeinternetowe"/>
          <w:rFonts w:asciiTheme="minorHAnsi" w:hAnsiTheme="minorHAnsi" w:cstheme="minorHAnsi"/>
          <w:lang w:val="en-US"/>
        </w:rPr>
      </w:pPr>
      <w:r>
        <w:rPr>
          <w:rFonts w:cstheme="minorHAnsi"/>
          <w:lang w:val="en-US"/>
        </w:rPr>
        <w:t>ECtHR, Jam</w:t>
      </w:r>
      <w:r w:rsidR="0094435E">
        <w:rPr>
          <w:rFonts w:cstheme="minorHAnsi"/>
          <w:lang w:val="en-US"/>
        </w:rPr>
        <w:t>a SHEROV and Others v. Poland, applications n</w:t>
      </w:r>
      <w:r>
        <w:rPr>
          <w:rFonts w:cstheme="minorHAnsi"/>
          <w:lang w:val="en-US"/>
        </w:rPr>
        <w:t xml:space="preserve">os. 54029/17, 54117/17, 54128/17, 54255/17, available at: </w:t>
      </w:r>
      <w:hyperlink r:id="rId16">
        <w:r>
          <w:rPr>
            <w:rStyle w:val="czeinternetowe"/>
            <w:rFonts w:cstheme="minorHAnsi"/>
            <w:lang w:val="en-US"/>
          </w:rPr>
          <w:t>http://hudoc.echr.coe.int/eng?i=001-207441</w:t>
        </w:r>
      </w:hyperlink>
    </w:p>
    <w:p w14:paraId="3D702517" w14:textId="77777777" w:rsidR="001A0A33" w:rsidRPr="00660E40" w:rsidRDefault="00CF13F8">
      <w:pPr>
        <w:pStyle w:val="FootnoteText"/>
        <w:numPr>
          <w:ilvl w:val="0"/>
          <w:numId w:val="3"/>
        </w:numPr>
        <w:jc w:val="both"/>
        <w:rPr>
          <w:rFonts w:asciiTheme="minorHAnsi" w:hAnsiTheme="minorHAnsi" w:cstheme="minorHAnsi"/>
          <w:lang w:val="en-US"/>
        </w:rPr>
      </w:pPr>
      <w:r>
        <w:rPr>
          <w:rFonts w:cstheme="minorHAnsi"/>
          <w:lang w:val="en-US"/>
        </w:rPr>
        <w:t xml:space="preserve">Helsinki Foundation for Human Rights, information available at: </w:t>
      </w:r>
      <w:hyperlink r:id="rId17">
        <w:r>
          <w:rPr>
            <w:rStyle w:val="czeinternetowe"/>
            <w:rFonts w:cstheme="minorHAnsi"/>
            <w:lang w:val="en-US"/>
          </w:rPr>
          <w:t>https://www.hfhr.pl/kolejna-sprawa-odmowy-wjazdu-dla-uchodzcow-zakomunikowana-polskiemu-rzadowi-przez-etpc/</w:t>
        </w:r>
      </w:hyperlink>
      <w:r>
        <w:rPr>
          <w:rFonts w:cstheme="minorHAnsi"/>
          <w:lang w:val="en-US"/>
        </w:rPr>
        <w:t xml:space="preserve"> </w:t>
      </w:r>
    </w:p>
    <w:p w14:paraId="124BC750" w14:textId="77777777" w:rsidR="00660E40" w:rsidRPr="00660E40" w:rsidRDefault="00660E40" w:rsidP="00660E40">
      <w:pPr>
        <w:pStyle w:val="FootnoteText"/>
        <w:numPr>
          <w:ilvl w:val="0"/>
          <w:numId w:val="3"/>
        </w:numPr>
        <w:jc w:val="both"/>
        <w:rPr>
          <w:rStyle w:val="czeinternetowe"/>
          <w:rFonts w:asciiTheme="minorHAnsi" w:hAnsiTheme="minorHAnsi" w:cstheme="minorHAnsi"/>
          <w:color w:val="auto"/>
          <w:u w:val="none"/>
          <w:lang w:val="en-US"/>
        </w:rPr>
      </w:pPr>
      <w:r>
        <w:rPr>
          <w:rFonts w:cstheme="minorHAnsi"/>
          <w:lang w:val="en-US"/>
        </w:rPr>
        <w:t xml:space="preserve">Helsinki Foundation for Human Rights, </w:t>
      </w:r>
      <w:r>
        <w:rPr>
          <w:rFonts w:cstheme="minorHAnsi"/>
          <w:i/>
          <w:iCs/>
          <w:lang w:val="en-US"/>
        </w:rPr>
        <w:t xml:space="preserve">Access to asylum procedure at Poland’s external </w:t>
      </w:r>
      <w:r w:rsidRPr="00585AF6">
        <w:rPr>
          <w:rFonts w:cstheme="minorHAnsi"/>
          <w:i/>
          <w:iCs/>
          <w:lang w:val="en-US"/>
        </w:rPr>
        <w:t>borders, Current situation and chall</w:t>
      </w:r>
      <w:r w:rsidRPr="00E43B64">
        <w:rPr>
          <w:rFonts w:cstheme="minorHAnsi"/>
          <w:i/>
          <w:iCs/>
          <w:lang w:val="en-US"/>
        </w:rPr>
        <w:t xml:space="preserve">enges for the future, </w:t>
      </w:r>
      <w:r w:rsidRPr="00E43B64">
        <w:rPr>
          <w:rFonts w:cstheme="minorHAnsi"/>
          <w:lang w:val="en-US"/>
        </w:rPr>
        <w:t xml:space="preserve">Warsaw, April 2019, full version in Polish available at: </w:t>
      </w:r>
      <w:hyperlink r:id="rId18" w:history="1">
        <w:r w:rsidRPr="00775229">
          <w:rPr>
            <w:rStyle w:val="Hyperlink"/>
            <w:rFonts w:cstheme="minorHAnsi"/>
            <w:lang w:val="en-US"/>
          </w:rPr>
          <w:t>https://www.hfhr.pl/wp-content/uploads/2019/04/Dost%C4%99p-do-procedury-azylowej-v2.pdf</w:t>
        </w:r>
      </w:hyperlink>
    </w:p>
    <w:p w14:paraId="002A0762" w14:textId="77777777" w:rsidR="00660E40" w:rsidRPr="00E43B64" w:rsidRDefault="00660E40" w:rsidP="00660E40">
      <w:pPr>
        <w:pStyle w:val="FootnoteText"/>
        <w:numPr>
          <w:ilvl w:val="0"/>
          <w:numId w:val="3"/>
        </w:numPr>
        <w:jc w:val="both"/>
        <w:rPr>
          <w:rFonts w:asciiTheme="minorHAnsi" w:hAnsiTheme="minorHAnsi" w:cstheme="minorHAnsi"/>
          <w:lang w:val="pl-PL"/>
        </w:rPr>
      </w:pPr>
      <w:r w:rsidRPr="00585AF6">
        <w:rPr>
          <w:rFonts w:cstheme="minorHAnsi"/>
          <w:lang w:val="pl-PL"/>
        </w:rPr>
        <w:t>Hels</w:t>
      </w:r>
      <w:r w:rsidRPr="00E43B64">
        <w:rPr>
          <w:rFonts w:cstheme="minorHAnsi"/>
          <w:lang w:val="pl-PL"/>
        </w:rPr>
        <w:t xml:space="preserve">inki Foundation for Human RIghts, </w:t>
      </w:r>
      <w:r w:rsidRPr="00E43B64">
        <w:rPr>
          <w:rFonts w:cstheme="minorHAnsi"/>
          <w:i/>
          <w:lang w:val="pl-PL"/>
        </w:rPr>
        <w:t>W poszukiwaniu ochrony</w:t>
      </w:r>
      <w:r w:rsidRPr="00585AF6">
        <w:rPr>
          <w:rFonts w:cstheme="minorHAnsi"/>
          <w:lang w:val="pl-PL"/>
        </w:rPr>
        <w:t xml:space="preserve">, available at: </w:t>
      </w:r>
      <w:r w:rsidR="00720FAA">
        <w:fldChar w:fldCharType="begin"/>
      </w:r>
      <w:r w:rsidR="00720FAA">
        <w:instrText xml:space="preserve"> HYPERLINK "https://www.hfhr.pl/wp-content/uploads/2014/12/HFPC_w_poszukiwaniu_ochrony.pdf" \t "_blank" </w:instrText>
      </w:r>
      <w:r w:rsidR="00720FAA">
        <w:fldChar w:fldCharType="separate"/>
      </w:r>
      <w:r w:rsidRPr="00E43B64">
        <w:rPr>
          <w:rStyle w:val="Hyperlink"/>
        </w:rPr>
        <w:t>https://www.hfhr.pl/wp-content/uploads/2014/12/HFPC_w_poszukiwaniu_ochrony.pdf</w:t>
      </w:r>
      <w:r w:rsidR="00720FAA">
        <w:rPr>
          <w:rStyle w:val="Hyperlink"/>
        </w:rPr>
        <w:fldChar w:fldCharType="end"/>
      </w:r>
    </w:p>
    <w:p w14:paraId="6769DA5E" w14:textId="77777777" w:rsidR="00660E40" w:rsidRPr="00FF10AE" w:rsidRDefault="00660E40" w:rsidP="00660E40">
      <w:pPr>
        <w:pStyle w:val="FootnoteText"/>
        <w:numPr>
          <w:ilvl w:val="0"/>
          <w:numId w:val="3"/>
        </w:numPr>
        <w:jc w:val="both"/>
        <w:rPr>
          <w:rFonts w:asciiTheme="minorHAnsi" w:hAnsiTheme="minorHAnsi" w:cstheme="minorHAnsi"/>
          <w:lang w:val="pl-PL"/>
        </w:rPr>
      </w:pPr>
      <w:r w:rsidRPr="00E43B64">
        <w:rPr>
          <w:lang w:val="pl-PL"/>
        </w:rPr>
        <w:t xml:space="preserve">Helsinki Foundation for Human Rights, information from Facebook available at: </w:t>
      </w:r>
      <w:r w:rsidR="00720FAA">
        <w:fldChar w:fldCharType="begin"/>
      </w:r>
      <w:r w:rsidR="00720FAA">
        <w:instrText xml:space="preserve"> HYPERLINK "https://facebook.com/permalink.php?story_fbid=1331330067067275&amp;id=174498936083733" </w:instrText>
      </w:r>
      <w:r w:rsidR="00720FAA">
        <w:fldChar w:fldCharType="separate"/>
      </w:r>
      <w:r w:rsidRPr="00E43B64">
        <w:rPr>
          <w:rStyle w:val="Hyperlink"/>
          <w:lang w:val="pl-PL"/>
        </w:rPr>
        <w:t>https://facebook.com/permalink.php?story_fbid=1331330067067275&amp;id=174498936083733</w:t>
      </w:r>
      <w:r w:rsidR="00720FAA">
        <w:rPr>
          <w:rStyle w:val="Hyperlink"/>
          <w:lang w:val="pl-PL"/>
        </w:rPr>
        <w:fldChar w:fldCharType="end"/>
      </w:r>
    </w:p>
    <w:p w14:paraId="62EB48F3" w14:textId="77777777" w:rsidR="00660E40" w:rsidRPr="00585AF6" w:rsidRDefault="00660E40" w:rsidP="00660E40">
      <w:pPr>
        <w:pStyle w:val="FootnoteText"/>
        <w:numPr>
          <w:ilvl w:val="0"/>
          <w:numId w:val="3"/>
        </w:numPr>
        <w:jc w:val="both"/>
        <w:rPr>
          <w:rFonts w:asciiTheme="minorHAnsi" w:hAnsiTheme="minorHAnsi" w:cstheme="minorHAnsi"/>
          <w:lang w:val="pl-PL"/>
        </w:rPr>
      </w:pPr>
      <w:r w:rsidRPr="00E43B64">
        <w:rPr>
          <w:lang w:val="pl-PL"/>
        </w:rPr>
        <w:t xml:space="preserve">Helsinki Foundation for Human Rights, information </w:t>
      </w:r>
      <w:r>
        <w:rPr>
          <w:lang w:val="pl-PL"/>
        </w:rPr>
        <w:t xml:space="preserve">available at: </w:t>
      </w:r>
      <w:r w:rsidR="00720FAA">
        <w:fldChar w:fldCharType="begin"/>
      </w:r>
      <w:r w:rsidR="00720FAA">
        <w:instrText xml:space="preserve"> HYP</w:instrText>
      </w:r>
      <w:r w:rsidR="00720FAA">
        <w:instrText xml:space="preserve">ERLINK "https://archiwumbip.mswia.gov.pl/download/4/24848/Uwagi-HFPC.pdf" </w:instrText>
      </w:r>
      <w:r w:rsidR="00720FAA">
        <w:fldChar w:fldCharType="separate"/>
      </w:r>
      <w:r w:rsidRPr="00775229">
        <w:rPr>
          <w:rStyle w:val="Hyperlink"/>
          <w:rFonts w:asciiTheme="minorHAnsi" w:hAnsiTheme="minorHAnsi" w:cstheme="minorHAnsi"/>
          <w:lang w:val="pl-PL"/>
        </w:rPr>
        <w:t>https://archiwumbip.mswia.gov.pl/download/4/24848/Uwagi-HFPC.pdf</w:t>
      </w:r>
      <w:r w:rsidR="00720FAA">
        <w:rPr>
          <w:rStyle w:val="Hyperlink"/>
          <w:rFonts w:asciiTheme="minorHAnsi" w:hAnsiTheme="minorHAnsi" w:cstheme="minorHAnsi"/>
          <w:lang w:val="pl-PL"/>
        </w:rPr>
        <w:fldChar w:fldCharType="end"/>
      </w:r>
      <w:r>
        <w:rPr>
          <w:rFonts w:asciiTheme="minorHAnsi" w:hAnsiTheme="minorHAnsi" w:cstheme="minorHAnsi"/>
          <w:lang w:val="pl-PL"/>
        </w:rPr>
        <w:t xml:space="preserve"> </w:t>
      </w:r>
    </w:p>
    <w:p w14:paraId="775A83B7" w14:textId="77777777" w:rsidR="00660E40" w:rsidRPr="00E43B64" w:rsidRDefault="00660E40" w:rsidP="00660E40">
      <w:pPr>
        <w:pStyle w:val="FootnoteText"/>
        <w:numPr>
          <w:ilvl w:val="0"/>
          <w:numId w:val="3"/>
        </w:numPr>
        <w:jc w:val="both"/>
        <w:rPr>
          <w:rFonts w:asciiTheme="minorHAnsi" w:hAnsiTheme="minorHAnsi" w:cstheme="minorHAnsi"/>
          <w:lang w:val="pl-PL"/>
        </w:rPr>
      </w:pPr>
      <w:r w:rsidRPr="00FF10AE">
        <w:rPr>
          <w:rFonts w:cstheme="minorHAnsi"/>
        </w:rPr>
        <w:t xml:space="preserve">Complaint to the European Commission: insufficient allowances for asylum seekers, </w:t>
      </w:r>
      <w:proofErr w:type="spellStart"/>
      <w:r w:rsidRPr="00FF10AE">
        <w:rPr>
          <w:rFonts w:cstheme="minorHAnsi"/>
        </w:rPr>
        <w:t>i</w:t>
      </w:r>
      <w:proofErr w:type="spellEnd"/>
      <w:r w:rsidRPr="00FF10AE">
        <w:rPr>
          <w:rFonts w:cstheme="minorHAnsi"/>
          <w:lang w:val="pl-PL"/>
        </w:rPr>
        <w:t xml:space="preserve">nformation available at: </w:t>
      </w:r>
      <w:r w:rsidR="00720FAA">
        <w:fldChar w:fldCharType="begin"/>
      </w:r>
      <w:r w:rsidR="00720FAA">
        <w:instrText xml:space="preserve"> HYPE</w:instrText>
      </w:r>
      <w:r w:rsidR="00720FAA">
        <w:instrText xml:space="preserve">RLINK "https://interwencjaprawna.pl/en/complaint-to-the-ec-extremely-low-amount-of-financial-allowances-for-asylum-seekers/" \h </w:instrText>
      </w:r>
      <w:r w:rsidR="00720FAA">
        <w:fldChar w:fldCharType="separate"/>
      </w:r>
      <w:r w:rsidRPr="00FF10AE">
        <w:rPr>
          <w:rStyle w:val="czeinternetowe"/>
          <w:rFonts w:cstheme="minorHAnsi"/>
          <w:lang w:val="pl-PL"/>
        </w:rPr>
        <w:t>https://interwencjaprawna.pl/en/complaint-to-the-ec-extremely-low-amount-of-financial-allowances-for-asylum-seekers/</w:t>
      </w:r>
      <w:r w:rsidR="00720FAA">
        <w:rPr>
          <w:rStyle w:val="czeinternetowe"/>
          <w:rFonts w:cstheme="minorHAnsi"/>
          <w:lang w:val="pl-PL"/>
        </w:rPr>
        <w:fldChar w:fldCharType="end"/>
      </w:r>
      <w:r w:rsidRPr="00E43B64">
        <w:rPr>
          <w:rFonts w:cstheme="minorHAnsi"/>
          <w:lang w:val="pl-PL"/>
        </w:rPr>
        <w:t xml:space="preserve"> </w:t>
      </w:r>
    </w:p>
    <w:p w14:paraId="667C03D5" w14:textId="77777777" w:rsidR="00660E40" w:rsidRDefault="00660E40" w:rsidP="00660E40">
      <w:pPr>
        <w:pStyle w:val="FootnoteText"/>
        <w:numPr>
          <w:ilvl w:val="0"/>
          <w:numId w:val="3"/>
        </w:numPr>
        <w:jc w:val="both"/>
        <w:rPr>
          <w:rFonts w:asciiTheme="minorHAnsi" w:hAnsiTheme="minorHAnsi" w:cstheme="minorHAnsi"/>
          <w:lang w:val="en-US"/>
        </w:rPr>
      </w:pPr>
      <w:r>
        <w:rPr>
          <w:rFonts w:cstheme="minorHAnsi"/>
          <w:lang w:val="en-US"/>
        </w:rPr>
        <w:t xml:space="preserve">Warsaw Bar, Advocates at the Border, information available at: </w:t>
      </w:r>
      <w:hyperlink r:id="rId19">
        <w:r>
          <w:rPr>
            <w:rStyle w:val="czeinternetowe"/>
            <w:rFonts w:cstheme="minorHAnsi"/>
            <w:lang w:val="en-US"/>
          </w:rPr>
          <w:t>https://informator.ora-warszawa.com.pl/2018/numer-e382018/projekt-adwokacinagranicy-zakonczyl-sie-sukcesem/</w:t>
        </w:r>
      </w:hyperlink>
      <w:r>
        <w:rPr>
          <w:rFonts w:cstheme="minorHAnsi"/>
          <w:lang w:val="en-US"/>
        </w:rPr>
        <w:t xml:space="preserve"> </w:t>
      </w:r>
    </w:p>
    <w:p w14:paraId="3EABE210" w14:textId="77777777" w:rsidR="00660E40" w:rsidRPr="00660E40" w:rsidRDefault="00660E40" w:rsidP="00660E40">
      <w:pPr>
        <w:pStyle w:val="FootnoteText"/>
        <w:numPr>
          <w:ilvl w:val="0"/>
          <w:numId w:val="3"/>
        </w:numPr>
        <w:jc w:val="both"/>
        <w:rPr>
          <w:rFonts w:asciiTheme="minorHAnsi" w:hAnsiTheme="minorHAnsi" w:cstheme="minorHAnsi"/>
          <w:lang w:val="en-US"/>
        </w:rPr>
      </w:pPr>
      <w:r w:rsidRPr="00660E40">
        <w:rPr>
          <w:rFonts w:cstheme="minorHAnsi"/>
          <w:lang w:val="en-US"/>
        </w:rPr>
        <w:t xml:space="preserve">Ombudsman, information available at: </w:t>
      </w:r>
      <w:hyperlink r:id="rId20">
        <w:r w:rsidRPr="00660E40">
          <w:rPr>
            <w:rStyle w:val="czeinternetowe"/>
            <w:rFonts w:cstheme="minorHAnsi"/>
            <w:lang w:val="en-US"/>
          </w:rPr>
          <w:t>https://www.rpo.gov.pl/pl/content/sytuacja-migrantow-pandemii-stanowisko-rpo-i-komisji-ekspertow-ds-migrantow</w:t>
        </w:r>
      </w:hyperlink>
    </w:p>
    <w:p w14:paraId="630C57ED" w14:textId="77777777" w:rsidR="001A0A33" w:rsidRDefault="00CF13F8">
      <w:pPr>
        <w:pStyle w:val="FootnoteText"/>
        <w:numPr>
          <w:ilvl w:val="0"/>
          <w:numId w:val="3"/>
        </w:numPr>
        <w:jc w:val="both"/>
        <w:rPr>
          <w:rFonts w:asciiTheme="minorHAnsi" w:hAnsiTheme="minorHAnsi" w:cstheme="minorHAnsi"/>
          <w:lang w:val="en-US"/>
        </w:rPr>
      </w:pPr>
      <w:r>
        <w:rPr>
          <w:rFonts w:cstheme="minorHAnsi"/>
          <w:lang w:val="en-US"/>
        </w:rPr>
        <w:lastRenderedPageBreak/>
        <w:t>Head of the Office for Foreigners,</w:t>
      </w:r>
      <w:r>
        <w:rPr>
          <w:rFonts w:cstheme="minorHAnsi"/>
          <w:i/>
          <w:lang w:val="en-US"/>
        </w:rPr>
        <w:t xml:space="preserve"> </w:t>
      </w:r>
      <w:r>
        <w:rPr>
          <w:rFonts w:cstheme="minorHAnsi"/>
          <w:lang w:val="en-US"/>
        </w:rPr>
        <w:t xml:space="preserve">information available at: </w:t>
      </w:r>
      <w:hyperlink r:id="rId21">
        <w:r>
          <w:rPr>
            <w:rStyle w:val="czeinternetowe"/>
            <w:rFonts w:cstheme="minorHAnsi"/>
            <w:lang w:val="en-US"/>
          </w:rPr>
          <w:t>https://udsc.gov.pl/en/suspension-of-direct-customer-service/</w:t>
        </w:r>
      </w:hyperlink>
      <w:r>
        <w:rPr>
          <w:rFonts w:cstheme="minorHAnsi"/>
          <w:lang w:val="en-US"/>
        </w:rPr>
        <w:t xml:space="preserve"> </w:t>
      </w:r>
    </w:p>
    <w:p w14:paraId="6B961050" w14:textId="77777777" w:rsidR="001A0A33" w:rsidRDefault="00CF13F8">
      <w:pPr>
        <w:pStyle w:val="FootnoteText"/>
        <w:numPr>
          <w:ilvl w:val="0"/>
          <w:numId w:val="3"/>
        </w:numPr>
        <w:tabs>
          <w:tab w:val="left" w:pos="0"/>
        </w:tabs>
        <w:jc w:val="both"/>
        <w:rPr>
          <w:rFonts w:asciiTheme="minorHAnsi" w:hAnsiTheme="minorHAnsi" w:cstheme="minorHAnsi"/>
          <w:lang w:val="en-US"/>
        </w:rPr>
      </w:pPr>
      <w:r>
        <w:rPr>
          <w:rFonts w:cstheme="minorHAnsi"/>
          <w:lang w:val="en-US"/>
        </w:rPr>
        <w:t>Head of the Office for Foreigners,</w:t>
      </w:r>
      <w:r>
        <w:rPr>
          <w:rFonts w:cstheme="minorHAnsi"/>
          <w:i/>
          <w:lang w:val="en-US"/>
        </w:rPr>
        <w:t xml:space="preserve"> </w:t>
      </w:r>
      <w:r>
        <w:rPr>
          <w:rFonts w:cstheme="minorHAnsi"/>
          <w:lang w:val="en-US"/>
        </w:rPr>
        <w:t xml:space="preserve">statistical data for the period of 1992-2000, available at: </w:t>
      </w:r>
      <w:hyperlink r:id="rId22">
        <w:r>
          <w:rPr>
            <w:rStyle w:val="czeinternetowe"/>
            <w:rFonts w:cstheme="minorHAnsi"/>
            <w:lang w:val="en-US"/>
          </w:rPr>
          <w:t>https://udsc.gov.pl/wp-content/uploads/2014/12/41206412b98bd_nsuch_gotowe.xls</w:t>
        </w:r>
      </w:hyperlink>
      <w:r>
        <w:rPr>
          <w:rFonts w:cstheme="minorHAnsi"/>
          <w:lang w:val="en-US"/>
        </w:rPr>
        <w:t xml:space="preserve"> </w:t>
      </w:r>
    </w:p>
    <w:p w14:paraId="76FCB882" w14:textId="77777777" w:rsidR="001A0A33" w:rsidRDefault="00CF13F8">
      <w:pPr>
        <w:pStyle w:val="FootnoteText"/>
        <w:numPr>
          <w:ilvl w:val="0"/>
          <w:numId w:val="3"/>
        </w:numPr>
        <w:tabs>
          <w:tab w:val="left" w:pos="0"/>
        </w:tabs>
        <w:jc w:val="both"/>
        <w:rPr>
          <w:rFonts w:asciiTheme="minorHAnsi" w:hAnsiTheme="minorHAnsi" w:cstheme="minorHAnsi"/>
          <w:lang w:val="en-US"/>
        </w:rPr>
      </w:pPr>
      <w:r>
        <w:rPr>
          <w:rFonts w:cstheme="minorHAnsi"/>
          <w:lang w:val="en-US"/>
        </w:rPr>
        <w:t>Head of the Office for Foreigners,</w:t>
      </w:r>
      <w:r>
        <w:rPr>
          <w:rFonts w:cstheme="minorHAnsi"/>
          <w:i/>
          <w:lang w:val="en-US"/>
        </w:rPr>
        <w:t xml:space="preserve"> </w:t>
      </w:r>
      <w:r>
        <w:rPr>
          <w:rFonts w:cstheme="minorHAnsi"/>
          <w:lang w:val="en-US"/>
        </w:rPr>
        <w:t xml:space="preserve">statistical data for the period of 2001-2003, available at: </w:t>
      </w:r>
      <w:hyperlink r:id="rId23">
        <w:r>
          <w:rPr>
            <w:rStyle w:val="czeinternetowe"/>
            <w:rFonts w:cstheme="minorHAnsi"/>
            <w:lang w:val="en-US"/>
          </w:rPr>
          <w:t>https://udsc.gov.pl/wp-content/uploads/2014/12/4097756888bac_polski.zip</w:t>
        </w:r>
      </w:hyperlink>
      <w:r>
        <w:rPr>
          <w:rFonts w:cstheme="minorHAnsi"/>
          <w:lang w:val="en-US"/>
        </w:rPr>
        <w:t xml:space="preserve"> </w:t>
      </w:r>
    </w:p>
    <w:p w14:paraId="583F3F59" w14:textId="77777777" w:rsidR="001A0A33" w:rsidRDefault="00CF13F8">
      <w:pPr>
        <w:pStyle w:val="FootnoteText"/>
        <w:numPr>
          <w:ilvl w:val="0"/>
          <w:numId w:val="3"/>
        </w:numPr>
        <w:tabs>
          <w:tab w:val="left" w:pos="0"/>
        </w:tabs>
        <w:jc w:val="both"/>
        <w:rPr>
          <w:rFonts w:asciiTheme="minorHAnsi" w:hAnsiTheme="minorHAnsi" w:cstheme="minorHAnsi"/>
          <w:lang w:val="en-US"/>
        </w:rPr>
      </w:pPr>
      <w:r>
        <w:rPr>
          <w:rFonts w:cstheme="minorHAnsi"/>
          <w:lang w:val="en-US"/>
        </w:rPr>
        <w:t>Head of the Office for Foreigners,</w:t>
      </w:r>
      <w:r>
        <w:rPr>
          <w:rFonts w:cstheme="minorHAnsi"/>
          <w:i/>
          <w:lang w:val="en-US"/>
        </w:rPr>
        <w:t xml:space="preserve"> </w:t>
      </w:r>
      <w:r>
        <w:rPr>
          <w:rFonts w:cstheme="minorHAnsi"/>
          <w:lang w:val="en-US"/>
        </w:rPr>
        <w:t xml:space="preserve">statistical data for the period of 2003-2005, available at: </w:t>
      </w:r>
      <w:hyperlink r:id="rId24">
        <w:r>
          <w:rPr>
            <w:rStyle w:val="czeinternetowe"/>
            <w:rFonts w:cstheme="minorHAnsi"/>
            <w:lang w:val="en-US"/>
          </w:rPr>
          <w:t>https://udsc.gov.pl/wp-content/uploads/2014/12/442266f618809_dane_2003_2005.zip</w:t>
        </w:r>
      </w:hyperlink>
      <w:r>
        <w:rPr>
          <w:rFonts w:cstheme="minorHAnsi"/>
          <w:lang w:val="en-US"/>
        </w:rPr>
        <w:t xml:space="preserve"> </w:t>
      </w:r>
    </w:p>
    <w:p w14:paraId="0D6E175F" w14:textId="77777777" w:rsidR="001A0A33" w:rsidRPr="00660E40" w:rsidRDefault="00CF13F8">
      <w:pPr>
        <w:pStyle w:val="FootnoteText"/>
        <w:numPr>
          <w:ilvl w:val="0"/>
          <w:numId w:val="3"/>
        </w:numPr>
        <w:tabs>
          <w:tab w:val="left" w:pos="0"/>
        </w:tabs>
        <w:jc w:val="both"/>
        <w:rPr>
          <w:rFonts w:asciiTheme="minorHAnsi" w:hAnsiTheme="minorHAnsi" w:cstheme="minorHAnsi"/>
          <w:lang w:val="en-US"/>
        </w:rPr>
      </w:pPr>
      <w:r>
        <w:rPr>
          <w:rFonts w:cstheme="minorHAnsi"/>
          <w:lang w:val="en-US"/>
        </w:rPr>
        <w:t>Head of the Office for Foreigners,</w:t>
      </w:r>
      <w:r>
        <w:rPr>
          <w:rFonts w:cstheme="minorHAnsi"/>
          <w:i/>
          <w:lang w:val="en-US"/>
        </w:rPr>
        <w:t xml:space="preserve"> </w:t>
      </w:r>
      <w:r>
        <w:rPr>
          <w:rFonts w:cstheme="minorHAnsi"/>
          <w:lang w:val="en-US"/>
        </w:rPr>
        <w:t xml:space="preserve">statistical data for the period of 2006-2008, available at: </w:t>
      </w:r>
      <w:hyperlink r:id="rId25">
        <w:r>
          <w:rPr>
            <w:rStyle w:val="czeinternetowe"/>
            <w:rFonts w:cstheme="minorHAnsi"/>
            <w:lang w:val="en-US"/>
          </w:rPr>
          <w:t>https://udsc.gov.pl/wp-content/uploads/2014/12/biul_2006_2008_pol.xls</w:t>
        </w:r>
      </w:hyperlink>
      <w:r>
        <w:rPr>
          <w:rFonts w:cstheme="minorHAnsi"/>
          <w:lang w:val="en-US"/>
        </w:rPr>
        <w:t xml:space="preserve"> </w:t>
      </w:r>
    </w:p>
    <w:p w14:paraId="5383496A" w14:textId="77777777" w:rsidR="00660E40" w:rsidRPr="00660E40" w:rsidRDefault="00660E40" w:rsidP="00660E40">
      <w:pPr>
        <w:pStyle w:val="FootnoteText"/>
        <w:numPr>
          <w:ilvl w:val="0"/>
          <w:numId w:val="3"/>
        </w:numPr>
        <w:jc w:val="both"/>
        <w:rPr>
          <w:rFonts w:asciiTheme="minorHAnsi" w:hAnsiTheme="minorHAnsi" w:cstheme="minorHAnsi"/>
          <w:lang w:val="en-US"/>
        </w:rPr>
      </w:pPr>
      <w:r>
        <w:rPr>
          <w:rFonts w:cstheme="minorHAnsi"/>
          <w:lang w:val="en-US"/>
        </w:rPr>
        <w:t xml:space="preserve">Minister of Interior and Administration, statement available at: </w:t>
      </w:r>
      <w:hyperlink r:id="rId26">
        <w:r>
          <w:rPr>
            <w:rStyle w:val="czeinternetowe"/>
            <w:rFonts w:cstheme="minorHAnsi"/>
            <w:lang w:val="en-US"/>
          </w:rPr>
          <w:t>http://www.sejm.gov.pl/sejm9.nsf/InterpelacjaTresc.xsp?key=BT8J9B</w:t>
        </w:r>
      </w:hyperlink>
      <w:r>
        <w:rPr>
          <w:rFonts w:cstheme="minorHAnsi"/>
          <w:lang w:val="en-US"/>
        </w:rPr>
        <w:t xml:space="preserve"> </w:t>
      </w:r>
    </w:p>
    <w:p w14:paraId="6EA4404C" w14:textId="77777777" w:rsidR="00660E40" w:rsidRPr="00660E40" w:rsidRDefault="00660E40" w:rsidP="00660E40">
      <w:pPr>
        <w:pStyle w:val="FootnoteText"/>
        <w:numPr>
          <w:ilvl w:val="0"/>
          <w:numId w:val="3"/>
        </w:numPr>
        <w:jc w:val="both"/>
        <w:rPr>
          <w:rStyle w:val="czeinternetowe"/>
          <w:rFonts w:asciiTheme="minorHAnsi" w:hAnsiTheme="minorHAnsi" w:cstheme="minorHAnsi"/>
          <w:color w:val="auto"/>
          <w:u w:val="none"/>
          <w:lang w:val="en-US"/>
        </w:rPr>
      </w:pPr>
      <w:r>
        <w:rPr>
          <w:rFonts w:cstheme="minorHAnsi"/>
          <w:lang w:val="en-US"/>
        </w:rPr>
        <w:t xml:space="preserve">Appeal to the Minister of Interior and Administration, available at: </w:t>
      </w:r>
      <w:hyperlink r:id="rId27">
        <w:r>
          <w:rPr>
            <w:rStyle w:val="czeinternetowe"/>
            <w:rFonts w:cstheme="minorHAnsi"/>
            <w:lang w:val="en-US"/>
          </w:rPr>
          <w:t>https://www.hfhr.pl/wp-content/uploads/2020/03/Wyst%C4%85pienie-NGOs-do-MSWiA-2020.03.26.pdf</w:t>
        </w:r>
      </w:hyperlink>
    </w:p>
    <w:p w14:paraId="2E4386D1" w14:textId="77777777" w:rsidR="00660E40" w:rsidRDefault="00660E40" w:rsidP="00660E40">
      <w:pPr>
        <w:pStyle w:val="FootnoteText"/>
        <w:numPr>
          <w:ilvl w:val="0"/>
          <w:numId w:val="3"/>
        </w:numPr>
        <w:jc w:val="both"/>
        <w:rPr>
          <w:rFonts w:asciiTheme="minorHAnsi" w:hAnsiTheme="minorHAnsi" w:cstheme="minorHAnsi"/>
          <w:lang w:val="en-US"/>
        </w:rPr>
      </w:pPr>
      <w:r>
        <w:rPr>
          <w:rFonts w:cstheme="minorHAnsi"/>
          <w:lang w:val="en-US"/>
        </w:rPr>
        <w:t>Border Guard, Border Guard Headquarters (</w:t>
      </w:r>
      <w:proofErr w:type="spellStart"/>
      <w:r>
        <w:rPr>
          <w:rFonts w:cstheme="minorHAnsi"/>
          <w:lang w:val="en-US"/>
        </w:rPr>
        <w:t>Straż</w:t>
      </w:r>
      <w:proofErr w:type="spellEnd"/>
      <w:r>
        <w:rPr>
          <w:rFonts w:cstheme="minorHAnsi"/>
          <w:lang w:val="en-US"/>
        </w:rPr>
        <w:t xml:space="preserve"> </w:t>
      </w:r>
      <w:proofErr w:type="spellStart"/>
      <w:r>
        <w:rPr>
          <w:rFonts w:cstheme="minorHAnsi"/>
          <w:lang w:val="en-US"/>
        </w:rPr>
        <w:t>Graniczna</w:t>
      </w:r>
      <w:proofErr w:type="spellEnd"/>
      <w:r>
        <w:rPr>
          <w:rFonts w:cstheme="minorHAnsi"/>
          <w:lang w:val="en-US"/>
        </w:rPr>
        <w:t xml:space="preserve">, SG), statistical data for 2020 available at: </w:t>
      </w:r>
      <w:hyperlink r:id="rId28">
        <w:r>
          <w:rPr>
            <w:rStyle w:val="czeinternetowe"/>
            <w:rFonts w:cstheme="minorHAnsi"/>
            <w:lang w:val="en-US"/>
          </w:rPr>
          <w:t>https://www.strazgraniczna.pl/pl/granica/statystyki-sg/2206,Statystyki-SG.html</w:t>
        </w:r>
      </w:hyperlink>
      <w:r>
        <w:rPr>
          <w:rFonts w:cstheme="minorHAnsi"/>
          <w:lang w:val="en-US"/>
        </w:rPr>
        <w:t xml:space="preserve"> </w:t>
      </w:r>
    </w:p>
    <w:p w14:paraId="6F97C648" w14:textId="77777777" w:rsidR="00660E40" w:rsidRDefault="00660E40" w:rsidP="00660E40">
      <w:pPr>
        <w:pStyle w:val="FootnoteText"/>
        <w:numPr>
          <w:ilvl w:val="0"/>
          <w:numId w:val="3"/>
        </w:numPr>
        <w:jc w:val="both"/>
        <w:rPr>
          <w:rFonts w:asciiTheme="minorHAnsi" w:hAnsiTheme="minorHAnsi" w:cstheme="minorHAnsi"/>
          <w:lang w:val="en-US"/>
        </w:rPr>
      </w:pPr>
      <w:r>
        <w:rPr>
          <w:rFonts w:cstheme="minorHAnsi"/>
          <w:lang w:val="en-US"/>
        </w:rPr>
        <w:t>Border Guard, Border Guard Headquarters (</w:t>
      </w:r>
      <w:proofErr w:type="spellStart"/>
      <w:r>
        <w:rPr>
          <w:rFonts w:cstheme="minorHAnsi"/>
          <w:lang w:val="en-US"/>
        </w:rPr>
        <w:t>Straż</w:t>
      </w:r>
      <w:proofErr w:type="spellEnd"/>
      <w:r>
        <w:rPr>
          <w:rFonts w:cstheme="minorHAnsi"/>
          <w:lang w:val="en-US"/>
        </w:rPr>
        <w:t xml:space="preserve"> </w:t>
      </w:r>
      <w:proofErr w:type="spellStart"/>
      <w:r>
        <w:rPr>
          <w:rFonts w:cstheme="minorHAnsi"/>
          <w:lang w:val="en-US"/>
        </w:rPr>
        <w:t>Graniczna</w:t>
      </w:r>
      <w:proofErr w:type="spellEnd"/>
      <w:r>
        <w:rPr>
          <w:rFonts w:cstheme="minorHAnsi"/>
          <w:lang w:val="en-US"/>
        </w:rPr>
        <w:t xml:space="preserve">, SG), statistical data for 2020 available at: </w:t>
      </w:r>
      <w:hyperlink r:id="rId29">
        <w:r>
          <w:rPr>
            <w:rStyle w:val="czeinternetowe"/>
            <w:rFonts w:cstheme="minorHAnsi"/>
            <w:lang w:val="en-US"/>
          </w:rPr>
          <w:t>https://www.strazgraniczna.pl/pl/granica/statystyki-sg/2206,Statystyki-SG.html</w:t>
        </w:r>
      </w:hyperlink>
      <w:r>
        <w:rPr>
          <w:rFonts w:cstheme="minorHAnsi"/>
          <w:lang w:val="en-US"/>
        </w:rPr>
        <w:t xml:space="preserve"> </w:t>
      </w:r>
    </w:p>
    <w:p w14:paraId="2C9EA780" w14:textId="77777777" w:rsidR="001A0A33" w:rsidRDefault="00CF13F8">
      <w:pPr>
        <w:pStyle w:val="FootnoteText"/>
        <w:numPr>
          <w:ilvl w:val="0"/>
          <w:numId w:val="3"/>
        </w:numPr>
        <w:jc w:val="both"/>
        <w:rPr>
          <w:rFonts w:asciiTheme="minorHAnsi" w:hAnsiTheme="minorHAnsi" w:cstheme="minorHAnsi"/>
          <w:lang w:val="en-US"/>
        </w:rPr>
      </w:pPr>
      <w:r>
        <w:rPr>
          <w:rFonts w:cstheme="minorHAnsi"/>
          <w:lang w:val="en-US"/>
        </w:rPr>
        <w:t xml:space="preserve">Eurostat, Asylum and first time asylum applicants by citizenship, age and sex Annual aggregated data (rounded) for 2008-2017, available at: </w:t>
      </w:r>
      <w:hyperlink r:id="rId30">
        <w:r>
          <w:rPr>
            <w:rStyle w:val="czeinternetowe"/>
            <w:rFonts w:cstheme="minorHAnsi"/>
            <w:lang w:val="en-US"/>
          </w:rPr>
          <w:t>http://appsso.eurostat.ec.europa.eu/nui/show.do?dataset=migr_asyappctza&amp;lang=en</w:t>
        </w:r>
      </w:hyperlink>
      <w:r>
        <w:rPr>
          <w:rFonts w:cstheme="minorHAnsi"/>
          <w:lang w:val="en-US"/>
        </w:rPr>
        <w:t xml:space="preserve"> </w:t>
      </w:r>
    </w:p>
    <w:p w14:paraId="5D8CB057" w14:textId="77777777" w:rsidR="001A0A33" w:rsidRPr="003614DD" w:rsidRDefault="00CF13F8" w:rsidP="003614DD">
      <w:pPr>
        <w:pStyle w:val="FootnoteText"/>
        <w:numPr>
          <w:ilvl w:val="0"/>
          <w:numId w:val="3"/>
        </w:numPr>
        <w:jc w:val="both"/>
        <w:rPr>
          <w:rFonts w:asciiTheme="minorHAnsi" w:hAnsiTheme="minorHAnsi" w:cstheme="minorHAnsi"/>
          <w:lang w:val="en-US"/>
        </w:rPr>
      </w:pPr>
      <w:r>
        <w:rPr>
          <w:rFonts w:cstheme="minorHAnsi"/>
          <w:lang w:val="en-US"/>
        </w:rPr>
        <w:t xml:space="preserve">European Commission for Refugees and Exiles, Asylum Information Database, country reports on Poland, available at: </w:t>
      </w:r>
      <w:hyperlink r:id="rId31">
        <w:r>
          <w:rPr>
            <w:rStyle w:val="czeinternetowe"/>
            <w:rFonts w:cstheme="minorHAnsi"/>
            <w:lang w:val="en-US"/>
          </w:rPr>
          <w:t>https://www.asylumineurope.org/reports/country/poland</w:t>
        </w:r>
      </w:hyperlink>
      <w:r>
        <w:rPr>
          <w:rFonts w:cstheme="minorHAnsi"/>
          <w:lang w:val="en-US"/>
        </w:rPr>
        <w:t xml:space="preserve"> (forthcoming 2020 update).</w:t>
      </w:r>
    </w:p>
    <w:p w14:paraId="7955E772" w14:textId="77777777" w:rsidR="001A0A33" w:rsidRDefault="001A0A33">
      <w:pPr>
        <w:jc w:val="both"/>
      </w:pPr>
    </w:p>
    <w:p w14:paraId="6F9D0B8E" w14:textId="77777777" w:rsidR="001A0A33" w:rsidRDefault="001A0A33">
      <w:pPr>
        <w:jc w:val="both"/>
      </w:pPr>
    </w:p>
    <w:p w14:paraId="76D12C43" w14:textId="77777777" w:rsidR="001A0A33" w:rsidRDefault="00CF13F8">
      <w:pPr>
        <w:pStyle w:val="ListParagraph"/>
        <w:numPr>
          <w:ilvl w:val="0"/>
          <w:numId w:val="2"/>
        </w:numPr>
        <w:tabs>
          <w:tab w:val="left" w:pos="586"/>
        </w:tabs>
        <w:spacing w:line="295" w:lineRule="auto"/>
        <w:ind w:right="684"/>
        <w:jc w:val="both"/>
        <w:rPr>
          <w:b/>
          <w:sz w:val="21"/>
        </w:rPr>
      </w:pPr>
      <w:r>
        <w:rPr>
          <w:b/>
          <w:color w:val="333399"/>
          <w:sz w:val="21"/>
        </w:rPr>
        <w:t xml:space="preserve">Feedback or suggestions about the process or format for submissions to the EASO </w:t>
      </w:r>
      <w:r>
        <w:rPr>
          <w:b/>
          <w:color w:val="333399"/>
          <w:spacing w:val="-3"/>
          <w:sz w:val="21"/>
        </w:rPr>
        <w:t xml:space="preserve">Asylum </w:t>
      </w:r>
      <w:r>
        <w:rPr>
          <w:b/>
          <w:color w:val="333399"/>
          <w:sz w:val="21"/>
        </w:rPr>
        <w:t>Report</w:t>
      </w:r>
    </w:p>
    <w:p w14:paraId="519BF2E9" w14:textId="77777777" w:rsidR="001A0A33" w:rsidRDefault="00CF13F8">
      <w:r>
        <w:t>N/A</w:t>
      </w:r>
    </w:p>
    <w:p w14:paraId="66C2B620" w14:textId="77777777" w:rsidR="001A0A33" w:rsidRDefault="001A0A33"/>
    <w:p w14:paraId="56D1CF87" w14:textId="77777777" w:rsidR="001A0A33" w:rsidRDefault="001A0A33"/>
    <w:p w14:paraId="4A134915" w14:textId="77777777" w:rsidR="001A0A33" w:rsidRDefault="00CF13F8">
      <w:pPr>
        <w:pStyle w:val="Heading1"/>
      </w:pPr>
      <w:r>
        <w:rPr>
          <w:noProof/>
          <w:lang w:val="pl-PL" w:eastAsia="pl-PL"/>
        </w:rPr>
        <mc:AlternateContent>
          <mc:Choice Requires="wps">
            <w:drawing>
              <wp:anchor distT="0" distB="0" distL="0" distR="0" simplePos="0" relativeHeight="5" behindDoc="0" locked="0" layoutInCell="0" allowOverlap="1" wp14:anchorId="0F11384E" wp14:editId="22A9CC13">
                <wp:simplePos x="0" y="0"/>
                <wp:positionH relativeFrom="page">
                  <wp:posOffset>695325</wp:posOffset>
                </wp:positionH>
                <wp:positionV relativeFrom="paragraph">
                  <wp:posOffset>327660</wp:posOffset>
                </wp:positionV>
                <wp:extent cx="6382385" cy="635"/>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81720" cy="0"/>
                        </a:xfrm>
                        <a:prstGeom prst="line">
                          <a:avLst/>
                        </a:prstGeom>
                        <a:ln w="19050">
                          <a:solidFill>
                            <a:srgbClr val="004E98"/>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54.75pt,25.8pt" to="557.2pt,25.8pt" ID="Straight Connector 4" stroked="t" style="position:absolute;mso-position-horizontal-relative:page" wp14:anchorId="0821B331">
                <v:stroke color="#004e98" weight="19080" joinstyle="round" endcap="flat"/>
                <v:fill o:detectmouseclick="t" on="false"/>
                <w10:wrap type="none"/>
              </v:line>
            </w:pict>
          </mc:Fallback>
        </mc:AlternateContent>
      </w:r>
      <w:r>
        <w:rPr>
          <w:color w:val="004E98"/>
        </w:rPr>
        <w:t>Contact details</w:t>
      </w:r>
    </w:p>
    <w:p w14:paraId="60E778B4" w14:textId="77777777" w:rsidR="001A0A33" w:rsidRDefault="001A0A33">
      <w:pPr>
        <w:pStyle w:val="NoSpacing"/>
      </w:pPr>
    </w:p>
    <w:p w14:paraId="2B0E7592" w14:textId="77777777" w:rsidR="001A0A33" w:rsidRDefault="001A0A33">
      <w:pPr>
        <w:pStyle w:val="NoSpacing"/>
      </w:pPr>
    </w:p>
    <w:p w14:paraId="64C13642" w14:textId="77777777" w:rsidR="001A0A33" w:rsidRDefault="00CF13F8">
      <w:pPr>
        <w:pStyle w:val="NoSpacing"/>
        <w:rPr>
          <w:rFonts w:ascii="Arial" w:eastAsia="Arial" w:hAnsi="Arial" w:cs="Arial"/>
          <w:b/>
          <w:sz w:val="21"/>
          <w:lang w:val="en-US"/>
        </w:rPr>
      </w:pPr>
      <w:r>
        <w:rPr>
          <w:rFonts w:ascii="Arial" w:eastAsia="Arial" w:hAnsi="Arial" w:cs="Arial"/>
          <w:b/>
          <w:color w:val="333399"/>
          <w:sz w:val="21"/>
          <w:lang w:val="en-US"/>
        </w:rPr>
        <w:t xml:space="preserve">Name of </w:t>
      </w:r>
      <w:proofErr w:type="spellStart"/>
      <w:r>
        <w:rPr>
          <w:rFonts w:ascii="Arial" w:eastAsia="Arial" w:hAnsi="Arial" w:cs="Arial"/>
          <w:b/>
          <w:color w:val="333399"/>
          <w:sz w:val="21"/>
          <w:lang w:val="en-US"/>
        </w:rPr>
        <w:t>Organisation</w:t>
      </w:r>
      <w:proofErr w:type="spellEnd"/>
      <w:r>
        <w:rPr>
          <w:rFonts w:ascii="Arial" w:eastAsia="Arial" w:hAnsi="Arial" w:cs="Arial"/>
          <w:b/>
          <w:color w:val="333399"/>
          <w:sz w:val="21"/>
          <w:lang w:val="en-US"/>
        </w:rPr>
        <w:t xml:space="preserve">: </w:t>
      </w:r>
      <w:r>
        <w:rPr>
          <w:rFonts w:ascii="Arial" w:eastAsia="Arial" w:hAnsi="Arial" w:cs="Arial"/>
          <w:b/>
          <w:sz w:val="21"/>
          <w:lang w:val="en-US"/>
        </w:rPr>
        <w:t>Helsinki Foundation for Human Rights</w:t>
      </w:r>
    </w:p>
    <w:p w14:paraId="634B621C" w14:textId="77777777" w:rsidR="001A0A33" w:rsidRDefault="001A0A33">
      <w:pPr>
        <w:pStyle w:val="NoSpacing"/>
        <w:rPr>
          <w:rFonts w:ascii="Arial" w:eastAsia="Arial" w:hAnsi="Arial" w:cs="Arial"/>
          <w:b/>
          <w:color w:val="333399"/>
          <w:sz w:val="21"/>
          <w:lang w:val="en-US"/>
        </w:rPr>
      </w:pPr>
    </w:p>
    <w:p w14:paraId="5DFFA7BC" w14:textId="77777777" w:rsidR="001A0A33" w:rsidRDefault="001A0A33">
      <w:pPr>
        <w:pStyle w:val="NoSpacing"/>
        <w:rPr>
          <w:rFonts w:ascii="Arial" w:eastAsia="Arial" w:hAnsi="Arial" w:cs="Arial"/>
          <w:b/>
          <w:color w:val="333399"/>
          <w:sz w:val="21"/>
          <w:lang w:val="en-US"/>
        </w:rPr>
      </w:pPr>
    </w:p>
    <w:p w14:paraId="33D2AFCA" w14:textId="77777777" w:rsidR="001A0A33" w:rsidRDefault="00CF13F8">
      <w:pPr>
        <w:pStyle w:val="NoSpacing"/>
        <w:rPr>
          <w:rFonts w:ascii="Arial" w:eastAsia="Arial" w:hAnsi="Arial" w:cs="Arial"/>
          <w:b/>
          <w:color w:val="333399"/>
          <w:sz w:val="21"/>
          <w:lang w:val="en-US"/>
        </w:rPr>
      </w:pPr>
      <w:r>
        <w:rPr>
          <w:rFonts w:ascii="Arial" w:eastAsia="Arial" w:hAnsi="Arial" w:cs="Arial"/>
          <w:b/>
          <w:color w:val="333399"/>
          <w:sz w:val="21"/>
          <w:lang w:val="en-US"/>
        </w:rPr>
        <w:t xml:space="preserve">Name and title of contact person: </w:t>
      </w:r>
      <w:r>
        <w:rPr>
          <w:rFonts w:ascii="Arial" w:eastAsia="Arial" w:hAnsi="Arial" w:cs="Arial"/>
          <w:b/>
          <w:sz w:val="21"/>
          <w:lang w:val="en-US"/>
        </w:rPr>
        <w:t>Mr Daniel Witko</w:t>
      </w:r>
    </w:p>
    <w:p w14:paraId="34AE9FB7" w14:textId="77777777" w:rsidR="001A0A33" w:rsidRDefault="001A0A33">
      <w:pPr>
        <w:pStyle w:val="NoSpacing"/>
        <w:rPr>
          <w:rFonts w:ascii="Arial" w:eastAsia="Arial" w:hAnsi="Arial" w:cs="Arial"/>
          <w:b/>
          <w:color w:val="333399"/>
          <w:sz w:val="21"/>
          <w:lang w:val="en-US"/>
        </w:rPr>
      </w:pPr>
    </w:p>
    <w:p w14:paraId="2A320653" w14:textId="77777777" w:rsidR="001A0A33" w:rsidRDefault="001A0A33">
      <w:pPr>
        <w:pStyle w:val="NoSpacing"/>
        <w:rPr>
          <w:rFonts w:ascii="Arial" w:eastAsia="Arial" w:hAnsi="Arial" w:cs="Arial"/>
          <w:b/>
          <w:color w:val="333399"/>
          <w:sz w:val="21"/>
          <w:lang w:val="en-US"/>
        </w:rPr>
      </w:pPr>
    </w:p>
    <w:p w14:paraId="5C2965A2" w14:textId="77777777" w:rsidR="001A0A33" w:rsidRDefault="00CF13F8">
      <w:pPr>
        <w:pStyle w:val="NoSpacing"/>
        <w:rPr>
          <w:rFonts w:ascii="Arial" w:eastAsia="Arial" w:hAnsi="Arial" w:cs="Arial"/>
          <w:b/>
          <w:color w:val="333399"/>
          <w:sz w:val="21"/>
          <w:lang w:val="en-US"/>
        </w:rPr>
      </w:pPr>
      <w:r>
        <w:rPr>
          <w:rFonts w:ascii="Arial" w:eastAsia="Arial" w:hAnsi="Arial" w:cs="Arial"/>
          <w:b/>
          <w:color w:val="333399"/>
          <w:sz w:val="21"/>
          <w:lang w:val="en-US"/>
        </w:rPr>
        <w:t xml:space="preserve">Email: </w:t>
      </w:r>
      <w:r>
        <w:rPr>
          <w:rFonts w:ascii="Arial" w:eastAsia="Arial" w:hAnsi="Arial" w:cs="Arial"/>
          <w:b/>
          <w:sz w:val="21"/>
          <w:lang w:val="en-US"/>
        </w:rPr>
        <w:t>refugees@hfhr.pl</w:t>
      </w:r>
    </w:p>
    <w:p w14:paraId="3B2CDCA1" w14:textId="77777777" w:rsidR="001A0A33" w:rsidRDefault="001A0A33">
      <w:pPr>
        <w:pStyle w:val="NoSpacing"/>
        <w:rPr>
          <w:rFonts w:ascii="Arial" w:eastAsia="Arial" w:hAnsi="Arial" w:cs="Arial"/>
          <w:b/>
          <w:color w:val="333399"/>
          <w:sz w:val="21"/>
          <w:lang w:val="en-US"/>
        </w:rPr>
      </w:pPr>
    </w:p>
    <w:p w14:paraId="4318F217" w14:textId="77777777" w:rsidR="001A0A33" w:rsidRDefault="001A0A33">
      <w:pPr>
        <w:pStyle w:val="NoSpacing"/>
        <w:rPr>
          <w:rFonts w:ascii="Arial" w:eastAsia="Arial" w:hAnsi="Arial" w:cs="Arial"/>
          <w:b/>
          <w:color w:val="333399"/>
          <w:sz w:val="21"/>
          <w:lang w:val="en-US"/>
        </w:rPr>
      </w:pPr>
    </w:p>
    <w:p w14:paraId="2F0C41E2" w14:textId="77777777" w:rsidR="001A0A33" w:rsidRDefault="00CF13F8">
      <w:pPr>
        <w:pStyle w:val="NoSpacing"/>
        <w:rPr>
          <w:rFonts w:ascii="Arial" w:eastAsia="Arial" w:hAnsi="Arial" w:cs="Arial"/>
          <w:b/>
          <w:color w:val="333399"/>
          <w:sz w:val="21"/>
          <w:lang w:val="en-US"/>
        </w:rPr>
      </w:pPr>
      <w:r>
        <w:rPr>
          <w:rFonts w:ascii="Arial" w:eastAsia="Arial" w:hAnsi="Arial" w:cs="Arial"/>
          <w:b/>
          <w:color w:val="333399"/>
          <w:sz w:val="21"/>
          <w:lang w:val="en-US"/>
        </w:rPr>
        <w:t xml:space="preserve"> </w:t>
      </w:r>
    </w:p>
    <w:p w14:paraId="044859AA" w14:textId="77777777" w:rsidR="001A0A33" w:rsidRDefault="00720FAA">
      <w:pPr>
        <w:pStyle w:val="NoSpacing"/>
      </w:pPr>
      <w:sdt>
        <w:sdtPr>
          <w:id w:val="982965723"/>
          <w14:checkbox>
            <w14:checked w14:val="1"/>
            <w14:checkedState w14:val="2612" w14:font="MS Gothic"/>
            <w14:uncheckedState w14:val="2610" w14:font="MS Gothic"/>
          </w14:checkbox>
        </w:sdtPr>
        <w:sdtEndPr/>
        <w:sdtContent>
          <w:r w:rsidR="00CF13F8">
            <w:rPr>
              <w:rFonts w:ascii="MS Gothic" w:eastAsia="MS Gothic" w:hAnsi="MS Gothic" w:cs="Arial"/>
              <w:b/>
              <w:color w:val="333399"/>
              <w:sz w:val="21"/>
              <w:lang w:val="en-US"/>
            </w:rPr>
            <w:t>☒</w:t>
          </w:r>
        </w:sdtContent>
      </w:sdt>
      <w:r w:rsidR="00CF13F8">
        <w:rPr>
          <w:rFonts w:ascii="Arial" w:eastAsia="Arial" w:hAnsi="Arial" w:cs="Arial"/>
          <w:b/>
          <w:color w:val="333399"/>
          <w:sz w:val="21"/>
          <w:lang w:val="en-US"/>
        </w:rPr>
        <w:t xml:space="preserve"> I accept the provisions of the EASO</w:t>
      </w:r>
      <w:r w:rsidR="00CF13F8">
        <w:rPr>
          <w:rFonts w:ascii="Arial Unicode MS" w:hAnsi="Arial Unicode MS"/>
          <w:color w:val="333333"/>
          <w:sz w:val="21"/>
        </w:rPr>
        <w:t xml:space="preserve"> </w:t>
      </w:r>
      <w:hyperlink r:id="rId32">
        <w:r w:rsidR="00CF13F8">
          <w:rPr>
            <w:rFonts w:ascii="Arial" w:hAnsi="Arial" w:cs="Arial"/>
            <w:b/>
            <w:bCs/>
            <w:color w:val="0068D6"/>
            <w:sz w:val="21"/>
            <w:szCs w:val="21"/>
            <w:u w:val="single" w:color="0068D6"/>
          </w:rPr>
          <w:t>Legal and Privacy</w:t>
        </w:r>
        <w:r w:rsidR="00CF13F8">
          <w:rPr>
            <w:rFonts w:ascii="Arial" w:hAnsi="Arial" w:cs="Arial"/>
            <w:b/>
            <w:bCs/>
            <w:color w:val="0068D6"/>
            <w:spacing w:val="2"/>
            <w:sz w:val="21"/>
            <w:szCs w:val="21"/>
            <w:u w:val="single" w:color="0068D6"/>
          </w:rPr>
          <w:t xml:space="preserve"> </w:t>
        </w:r>
        <w:r w:rsidR="00CF13F8">
          <w:rPr>
            <w:rFonts w:ascii="Arial" w:hAnsi="Arial" w:cs="Arial"/>
            <w:b/>
            <w:bCs/>
            <w:color w:val="0068D6"/>
            <w:sz w:val="21"/>
            <w:szCs w:val="21"/>
            <w:u w:val="single" w:color="0068D6"/>
          </w:rPr>
          <w:t>Statements</w:t>
        </w:r>
      </w:hyperlink>
    </w:p>
    <w:p w14:paraId="66A48B13" w14:textId="77777777" w:rsidR="001A0A33" w:rsidRDefault="001A0A33">
      <w:pPr>
        <w:pStyle w:val="NoSpacing"/>
      </w:pPr>
    </w:p>
    <w:p w14:paraId="51783A35" w14:textId="77777777" w:rsidR="001A0A33" w:rsidRDefault="001A0A33">
      <w:pPr>
        <w:pStyle w:val="NoSpacing"/>
      </w:pPr>
    </w:p>
    <w:sectPr w:rsidR="001A0A33">
      <w:pgSz w:w="11906" w:h="16838"/>
      <w:pgMar w:top="1440" w:right="1440" w:bottom="1440" w:left="1440"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BFFBC" w14:textId="77777777" w:rsidR="00720FAA" w:rsidRDefault="00720FAA">
      <w:pPr>
        <w:spacing w:after="0" w:line="240" w:lineRule="auto"/>
      </w:pPr>
      <w:r>
        <w:separator/>
      </w:r>
    </w:p>
  </w:endnote>
  <w:endnote w:type="continuationSeparator" w:id="0">
    <w:p w14:paraId="295697B3" w14:textId="77777777" w:rsidR="00720FAA" w:rsidRDefault="0072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705B4" w14:textId="77777777" w:rsidR="00720FAA" w:rsidRDefault="00720FAA">
      <w:pPr>
        <w:rPr>
          <w:sz w:val="12"/>
        </w:rPr>
      </w:pPr>
      <w:r>
        <w:separator/>
      </w:r>
    </w:p>
  </w:footnote>
  <w:footnote w:type="continuationSeparator" w:id="0">
    <w:p w14:paraId="09A555E2" w14:textId="77777777" w:rsidR="00720FAA" w:rsidRDefault="00720FAA">
      <w:pPr>
        <w:rPr>
          <w:sz w:val="12"/>
        </w:rPr>
      </w:pPr>
      <w:r>
        <w:continuationSeparator/>
      </w:r>
    </w:p>
  </w:footnote>
  <w:footnote w:id="1">
    <w:p w14:paraId="262C95A1"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ECt</w:t>
      </w:r>
      <w:r w:rsidR="000C70D1">
        <w:rPr>
          <w:rFonts w:asciiTheme="minorHAnsi" w:hAnsiTheme="minorHAnsi" w:cstheme="minorHAnsi"/>
          <w:sz w:val="18"/>
          <w:szCs w:val="18"/>
          <w:lang w:val="en-US"/>
        </w:rPr>
        <w:t>HR, M.K. and Others v. Poland, application n</w:t>
      </w:r>
      <w:r w:rsidRPr="00FF10AE">
        <w:rPr>
          <w:rFonts w:asciiTheme="minorHAnsi" w:hAnsiTheme="minorHAnsi" w:cstheme="minorHAnsi"/>
          <w:sz w:val="18"/>
          <w:szCs w:val="18"/>
          <w:lang w:val="en-US"/>
        </w:rPr>
        <w:t xml:space="preserve">os. 40503/17, 42902/17, 43643/17, 23 July 2020, final on 14 December 2020, available at: </w:t>
      </w:r>
      <w:hyperlink r:id="rId1">
        <w:r w:rsidRPr="00FF10AE">
          <w:rPr>
            <w:rStyle w:val="czeinternetowe"/>
            <w:rFonts w:asciiTheme="minorHAnsi" w:hAnsiTheme="minorHAnsi" w:cstheme="minorHAnsi"/>
            <w:sz w:val="18"/>
            <w:szCs w:val="18"/>
            <w:lang w:val="en-US"/>
          </w:rPr>
          <w:t>http://hudoc.echr.coe.int/eng?i=001-203840</w:t>
        </w:r>
      </w:hyperlink>
      <w:r w:rsidRPr="00FF10AE">
        <w:rPr>
          <w:rFonts w:asciiTheme="minorHAnsi" w:hAnsiTheme="minorHAnsi" w:cstheme="minorHAnsi"/>
          <w:sz w:val="18"/>
          <w:szCs w:val="18"/>
          <w:lang w:val="en-US"/>
        </w:rPr>
        <w:t xml:space="preserve"> </w:t>
      </w:r>
    </w:p>
  </w:footnote>
  <w:footnote w:id="2">
    <w:p w14:paraId="177518C8"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Warsaw Bar, Advocates at the Border, information available at: </w:t>
      </w:r>
      <w:hyperlink r:id="rId2">
        <w:r w:rsidRPr="00FF10AE">
          <w:rPr>
            <w:rStyle w:val="czeinternetowe"/>
            <w:rFonts w:asciiTheme="minorHAnsi" w:hAnsiTheme="minorHAnsi" w:cstheme="minorHAnsi"/>
            <w:sz w:val="18"/>
            <w:szCs w:val="18"/>
            <w:lang w:val="en-US"/>
          </w:rPr>
          <w:t>https://informator.ora-warszawa.com.pl/2018/numer-e382018/projekt-adwokacinagranicy-zakonczyl-sie-sukcesem/</w:t>
        </w:r>
      </w:hyperlink>
      <w:r w:rsidRPr="00FF10AE">
        <w:rPr>
          <w:rFonts w:asciiTheme="minorHAnsi" w:hAnsiTheme="minorHAnsi" w:cstheme="minorHAnsi"/>
          <w:sz w:val="18"/>
          <w:szCs w:val="18"/>
          <w:lang w:val="en-US"/>
        </w:rPr>
        <w:t xml:space="preserve"> </w:t>
      </w:r>
    </w:p>
  </w:footnote>
  <w:footnote w:id="3">
    <w:p w14:paraId="02447B97"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ECt</w:t>
      </w:r>
      <w:r w:rsidR="000C70D1">
        <w:rPr>
          <w:rFonts w:asciiTheme="minorHAnsi" w:hAnsiTheme="minorHAnsi" w:cstheme="minorHAnsi"/>
          <w:sz w:val="18"/>
          <w:szCs w:val="18"/>
          <w:lang w:val="en-US"/>
        </w:rPr>
        <w:t>HR, D.A. and Others v. Poland, application n</w:t>
      </w:r>
      <w:r w:rsidRPr="00FF10AE">
        <w:rPr>
          <w:rFonts w:asciiTheme="minorHAnsi" w:hAnsiTheme="minorHAnsi" w:cstheme="minorHAnsi"/>
          <w:sz w:val="18"/>
          <w:szCs w:val="18"/>
          <w:lang w:val="en-US"/>
        </w:rPr>
        <w:t xml:space="preserve">o. 51246/17, </w:t>
      </w:r>
      <w:proofErr w:type="spellStart"/>
      <w:r w:rsidRPr="00FF10AE">
        <w:rPr>
          <w:rFonts w:asciiTheme="minorHAnsi" w:hAnsiTheme="minorHAnsi" w:cstheme="minorHAnsi"/>
          <w:sz w:val="18"/>
          <w:szCs w:val="18"/>
          <w:lang w:val="en-US"/>
        </w:rPr>
        <w:t>dommunicated</w:t>
      </w:r>
      <w:proofErr w:type="spellEnd"/>
      <w:r w:rsidRPr="00FF10AE">
        <w:rPr>
          <w:rFonts w:asciiTheme="minorHAnsi" w:hAnsiTheme="minorHAnsi" w:cstheme="minorHAnsi"/>
          <w:sz w:val="18"/>
          <w:szCs w:val="18"/>
          <w:lang w:val="en-US"/>
        </w:rPr>
        <w:t xml:space="preserve"> on 7 September 2017, available at: </w:t>
      </w:r>
      <w:hyperlink r:id="rId3">
        <w:r w:rsidRPr="00FF10AE">
          <w:rPr>
            <w:rStyle w:val="czeinternetowe"/>
            <w:rFonts w:asciiTheme="minorHAnsi" w:hAnsiTheme="minorHAnsi" w:cstheme="minorHAnsi"/>
            <w:sz w:val="18"/>
            <w:szCs w:val="18"/>
            <w:lang w:val="en-US"/>
          </w:rPr>
          <w:t>http://hudoc.echr.coe.int/eng?i=001-177298</w:t>
        </w:r>
      </w:hyperlink>
      <w:r w:rsidRPr="00FF10AE">
        <w:rPr>
          <w:rFonts w:asciiTheme="minorHAnsi" w:hAnsiTheme="minorHAnsi" w:cstheme="minorHAnsi"/>
          <w:sz w:val="18"/>
          <w:szCs w:val="18"/>
          <w:lang w:val="en-US"/>
        </w:rPr>
        <w:t xml:space="preserve"> </w:t>
      </w:r>
    </w:p>
  </w:footnote>
  <w:footnote w:id="4">
    <w:p w14:paraId="1845F58C"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ECtHR, Jam</w:t>
      </w:r>
      <w:r w:rsidR="000C70D1">
        <w:rPr>
          <w:rFonts w:asciiTheme="minorHAnsi" w:hAnsiTheme="minorHAnsi" w:cstheme="minorHAnsi"/>
          <w:sz w:val="18"/>
          <w:szCs w:val="18"/>
          <w:lang w:val="en-US"/>
        </w:rPr>
        <w:t>a SHEROV and Others v. Poland, a</w:t>
      </w:r>
      <w:r w:rsidRPr="00FF10AE">
        <w:rPr>
          <w:rFonts w:asciiTheme="minorHAnsi" w:hAnsiTheme="minorHAnsi" w:cstheme="minorHAnsi"/>
          <w:sz w:val="18"/>
          <w:szCs w:val="18"/>
          <w:lang w:val="en-US"/>
        </w:rPr>
        <w:t xml:space="preserve">pplications </w:t>
      </w:r>
      <w:r w:rsidR="000C70D1">
        <w:rPr>
          <w:rFonts w:asciiTheme="minorHAnsi" w:hAnsiTheme="minorHAnsi" w:cstheme="minorHAnsi"/>
          <w:sz w:val="18"/>
          <w:szCs w:val="18"/>
          <w:lang w:val="en-US"/>
        </w:rPr>
        <w:t>n</w:t>
      </w:r>
      <w:r w:rsidRPr="00FF10AE">
        <w:rPr>
          <w:rFonts w:asciiTheme="minorHAnsi" w:hAnsiTheme="minorHAnsi" w:cstheme="minorHAnsi"/>
          <w:sz w:val="18"/>
          <w:szCs w:val="18"/>
          <w:lang w:val="en-US"/>
        </w:rPr>
        <w:t xml:space="preserve">os. 54029/17, 54117/17, 54128/17, 54255/17, communicated on 16 December 2020, available at: </w:t>
      </w:r>
      <w:hyperlink r:id="rId4">
        <w:r w:rsidRPr="00FF10AE">
          <w:rPr>
            <w:rStyle w:val="czeinternetowe"/>
            <w:rFonts w:asciiTheme="minorHAnsi" w:hAnsiTheme="minorHAnsi" w:cstheme="minorHAnsi"/>
            <w:sz w:val="18"/>
            <w:szCs w:val="18"/>
            <w:lang w:val="en-US"/>
          </w:rPr>
          <w:t>http://hudoc.echr.coe.int/eng?i=001-207441</w:t>
        </w:r>
      </w:hyperlink>
    </w:p>
  </w:footnote>
  <w:footnote w:id="5">
    <w:p w14:paraId="4EE9BD59"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Helsinki Foundation for Human Rights, information available at: </w:t>
      </w:r>
      <w:hyperlink r:id="rId5">
        <w:r w:rsidRPr="00FF10AE">
          <w:rPr>
            <w:rStyle w:val="czeinternetowe"/>
            <w:rFonts w:asciiTheme="minorHAnsi" w:hAnsiTheme="minorHAnsi" w:cstheme="minorHAnsi"/>
            <w:sz w:val="18"/>
            <w:szCs w:val="18"/>
            <w:lang w:val="en-US"/>
          </w:rPr>
          <w:t>https://www.hfhr.pl/kolejna-sprawa-odmowy-wjazdu-dla-uchodzcow-zakomunikowana-polskiemu-rzadowi-przez-etpc/</w:t>
        </w:r>
      </w:hyperlink>
      <w:r w:rsidRPr="00FF10AE">
        <w:rPr>
          <w:rFonts w:asciiTheme="minorHAnsi" w:hAnsiTheme="minorHAnsi" w:cstheme="minorHAnsi"/>
          <w:sz w:val="18"/>
          <w:szCs w:val="18"/>
          <w:lang w:val="en-US"/>
        </w:rPr>
        <w:t xml:space="preserve"> </w:t>
      </w:r>
    </w:p>
  </w:footnote>
  <w:footnote w:id="6">
    <w:p w14:paraId="7811E6BB"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Head of the Office for Foreigners,</w:t>
      </w:r>
      <w:r w:rsidRPr="00FF10AE">
        <w:rPr>
          <w:rFonts w:asciiTheme="minorHAnsi" w:hAnsiTheme="minorHAnsi" w:cstheme="minorHAnsi"/>
          <w:i/>
          <w:sz w:val="18"/>
          <w:szCs w:val="18"/>
          <w:lang w:val="en-US"/>
        </w:rPr>
        <w:t xml:space="preserve"> </w:t>
      </w:r>
      <w:r w:rsidRPr="00FF10AE">
        <w:rPr>
          <w:rFonts w:asciiTheme="minorHAnsi" w:hAnsiTheme="minorHAnsi" w:cstheme="minorHAnsi"/>
          <w:sz w:val="18"/>
          <w:szCs w:val="18"/>
          <w:lang w:val="en-US"/>
        </w:rPr>
        <w:t xml:space="preserve">information available at: </w:t>
      </w:r>
      <w:hyperlink r:id="rId6">
        <w:r w:rsidRPr="00FF10AE">
          <w:rPr>
            <w:rStyle w:val="czeinternetowe"/>
            <w:rFonts w:asciiTheme="minorHAnsi" w:hAnsiTheme="minorHAnsi" w:cstheme="minorHAnsi"/>
            <w:sz w:val="18"/>
            <w:szCs w:val="18"/>
            <w:lang w:val="en-US"/>
          </w:rPr>
          <w:t>https://udsc.gov.pl/en/suspension-of-direct-customer-service/</w:t>
        </w:r>
      </w:hyperlink>
      <w:r w:rsidRPr="00FF10AE">
        <w:rPr>
          <w:rFonts w:asciiTheme="minorHAnsi" w:hAnsiTheme="minorHAnsi" w:cstheme="minorHAnsi"/>
          <w:sz w:val="18"/>
          <w:szCs w:val="18"/>
          <w:lang w:val="en-US"/>
        </w:rPr>
        <w:t xml:space="preserve"> </w:t>
      </w:r>
    </w:p>
  </w:footnote>
  <w:footnote w:id="7">
    <w:p w14:paraId="61CD873F"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r w:rsidRPr="00FF10AE">
        <w:rPr>
          <w:rFonts w:asciiTheme="minorHAnsi" w:hAnsiTheme="minorHAnsi" w:cstheme="minorHAnsi"/>
          <w:sz w:val="18"/>
          <w:szCs w:val="18"/>
          <w:lang w:val="en-US"/>
        </w:rPr>
        <w:t xml:space="preserve"> </w:t>
      </w:r>
    </w:p>
  </w:footnote>
  <w:footnote w:id="8">
    <w:p w14:paraId="24CA6AB5"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Poland, Border Guard, Border Guard Headquarters (</w:t>
      </w:r>
      <w:proofErr w:type="spellStart"/>
      <w:r w:rsidRPr="00FF10AE">
        <w:rPr>
          <w:rFonts w:asciiTheme="minorHAnsi" w:hAnsiTheme="minorHAnsi" w:cstheme="minorHAnsi"/>
          <w:sz w:val="18"/>
          <w:szCs w:val="18"/>
          <w:lang w:val="en-US"/>
        </w:rPr>
        <w:t>Straż</w:t>
      </w:r>
      <w:proofErr w:type="spellEnd"/>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Graniczna</w:t>
      </w:r>
      <w:proofErr w:type="spellEnd"/>
      <w:r w:rsidRPr="00FF10AE">
        <w:rPr>
          <w:rFonts w:asciiTheme="minorHAnsi" w:hAnsiTheme="minorHAnsi" w:cstheme="minorHAnsi"/>
          <w:sz w:val="18"/>
          <w:szCs w:val="18"/>
          <w:lang w:val="en-US"/>
        </w:rPr>
        <w:t>, SG), e-mail, 31 March 2020.</w:t>
      </w:r>
    </w:p>
  </w:footnote>
  <w:footnote w:id="9">
    <w:p w14:paraId="046C6E09"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Poland, Border Guard, Border Guard Headquarters (</w:t>
      </w:r>
      <w:proofErr w:type="spellStart"/>
      <w:r w:rsidRPr="00FF10AE">
        <w:rPr>
          <w:rFonts w:asciiTheme="minorHAnsi" w:hAnsiTheme="minorHAnsi" w:cstheme="minorHAnsi"/>
          <w:sz w:val="18"/>
          <w:szCs w:val="18"/>
          <w:lang w:val="en-US"/>
        </w:rPr>
        <w:t>Straż</w:t>
      </w:r>
      <w:proofErr w:type="spellEnd"/>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Graniczna</w:t>
      </w:r>
      <w:proofErr w:type="spellEnd"/>
      <w:r w:rsidRPr="00FF10AE">
        <w:rPr>
          <w:rFonts w:asciiTheme="minorHAnsi" w:hAnsiTheme="minorHAnsi" w:cstheme="minorHAnsi"/>
          <w:sz w:val="18"/>
          <w:szCs w:val="18"/>
          <w:lang w:val="en-US"/>
        </w:rPr>
        <w:t>, SG), e-mail, 25, 29 June 2020.</w:t>
      </w:r>
    </w:p>
  </w:footnote>
  <w:footnote w:id="10">
    <w:p w14:paraId="4EC5FF4C"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Poland, Border Guard, Border Guard Headquarters (</w:t>
      </w:r>
      <w:proofErr w:type="spellStart"/>
      <w:r w:rsidRPr="00FF10AE">
        <w:rPr>
          <w:rFonts w:asciiTheme="minorHAnsi" w:hAnsiTheme="minorHAnsi" w:cstheme="minorHAnsi"/>
          <w:sz w:val="18"/>
          <w:szCs w:val="18"/>
          <w:lang w:val="en-US"/>
        </w:rPr>
        <w:t>Straż</w:t>
      </w:r>
      <w:proofErr w:type="spellEnd"/>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Graniczna</w:t>
      </w:r>
      <w:proofErr w:type="spellEnd"/>
      <w:r w:rsidRPr="00FF10AE">
        <w:rPr>
          <w:rFonts w:asciiTheme="minorHAnsi" w:hAnsiTheme="minorHAnsi" w:cstheme="minorHAnsi"/>
          <w:sz w:val="18"/>
          <w:szCs w:val="18"/>
          <w:lang w:val="en-US"/>
        </w:rPr>
        <w:t>, SG), e-mail, 31 March 2020.</w:t>
      </w:r>
    </w:p>
  </w:footnote>
  <w:footnote w:id="11">
    <w:p w14:paraId="1CDFF103"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12">
    <w:p w14:paraId="562DB0DE"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Border Guard, Border Guard Headquarters (</w:t>
      </w:r>
      <w:proofErr w:type="spellStart"/>
      <w:r w:rsidRPr="00FF10AE">
        <w:rPr>
          <w:rFonts w:asciiTheme="minorHAnsi" w:hAnsiTheme="minorHAnsi" w:cstheme="minorHAnsi"/>
          <w:sz w:val="18"/>
          <w:szCs w:val="18"/>
          <w:lang w:val="en-US"/>
        </w:rPr>
        <w:t>Straż</w:t>
      </w:r>
      <w:proofErr w:type="spellEnd"/>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Graniczna</w:t>
      </w:r>
      <w:proofErr w:type="spellEnd"/>
      <w:r w:rsidRPr="00FF10AE">
        <w:rPr>
          <w:rFonts w:asciiTheme="minorHAnsi" w:hAnsiTheme="minorHAnsi" w:cstheme="minorHAnsi"/>
          <w:sz w:val="18"/>
          <w:szCs w:val="18"/>
          <w:lang w:val="en-US"/>
        </w:rPr>
        <w:t xml:space="preserve">, SG), statistical data for 2020 available at: </w:t>
      </w:r>
      <w:hyperlink r:id="rId7">
        <w:r w:rsidRPr="00FF10AE">
          <w:rPr>
            <w:rStyle w:val="czeinternetowe"/>
            <w:rFonts w:asciiTheme="minorHAnsi" w:hAnsiTheme="minorHAnsi" w:cstheme="minorHAnsi"/>
            <w:sz w:val="18"/>
            <w:szCs w:val="18"/>
            <w:lang w:val="en-US"/>
          </w:rPr>
          <w:t>https://www.strazgraniczna.pl/pl/granica/statystyki-sg/2206,Statystyki-SG.html</w:t>
        </w:r>
      </w:hyperlink>
      <w:r w:rsidRPr="00FF10AE">
        <w:rPr>
          <w:rFonts w:asciiTheme="minorHAnsi" w:hAnsiTheme="minorHAnsi" w:cstheme="minorHAnsi"/>
          <w:sz w:val="18"/>
          <w:szCs w:val="18"/>
          <w:lang w:val="en-US"/>
        </w:rPr>
        <w:t xml:space="preserve"> </w:t>
      </w:r>
    </w:p>
  </w:footnote>
  <w:footnote w:id="13">
    <w:p w14:paraId="31E71801"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Ombudsman, information available at: </w:t>
      </w:r>
      <w:hyperlink r:id="rId8">
        <w:r w:rsidRPr="00FF10AE">
          <w:rPr>
            <w:rStyle w:val="czeinternetowe"/>
            <w:rFonts w:asciiTheme="minorHAnsi" w:hAnsiTheme="minorHAnsi" w:cstheme="minorHAnsi"/>
            <w:sz w:val="18"/>
            <w:szCs w:val="18"/>
            <w:lang w:val="en-US"/>
          </w:rPr>
          <w:t>https://www.rpo.gov.pl/pl/content/sytuacja-migrantow-pandemii-stanowisko-rpo-i-komisji-ekspertow-ds-migrantow</w:t>
        </w:r>
      </w:hyperlink>
      <w:r w:rsidRPr="00FF10AE">
        <w:rPr>
          <w:rFonts w:asciiTheme="minorHAnsi" w:hAnsiTheme="minorHAnsi" w:cstheme="minorHAnsi"/>
          <w:sz w:val="18"/>
          <w:szCs w:val="18"/>
          <w:lang w:val="en-US"/>
        </w:rPr>
        <w:t xml:space="preserve"> </w:t>
      </w:r>
    </w:p>
  </w:footnote>
  <w:footnote w:id="14">
    <w:p w14:paraId="0990B2A9"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15">
    <w:p w14:paraId="0F22BE23"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16">
    <w:p w14:paraId="42E4F5CB"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Border Guard, Border Guard Headquarters (</w:t>
      </w:r>
      <w:proofErr w:type="spellStart"/>
      <w:r w:rsidRPr="00FF10AE">
        <w:rPr>
          <w:rFonts w:asciiTheme="minorHAnsi" w:hAnsiTheme="minorHAnsi" w:cstheme="minorHAnsi"/>
          <w:sz w:val="18"/>
          <w:szCs w:val="18"/>
          <w:lang w:val="en-US"/>
        </w:rPr>
        <w:t>Straż</w:t>
      </w:r>
      <w:proofErr w:type="spellEnd"/>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Graniczna</w:t>
      </w:r>
      <w:proofErr w:type="spellEnd"/>
      <w:r w:rsidRPr="00FF10AE">
        <w:rPr>
          <w:rFonts w:asciiTheme="minorHAnsi" w:hAnsiTheme="minorHAnsi" w:cstheme="minorHAnsi"/>
          <w:sz w:val="18"/>
          <w:szCs w:val="18"/>
          <w:lang w:val="en-US"/>
        </w:rPr>
        <w:t xml:space="preserve">, SG), statistical data for 2020 available at: </w:t>
      </w:r>
      <w:hyperlink r:id="rId9">
        <w:r w:rsidRPr="00FF10AE">
          <w:rPr>
            <w:rStyle w:val="czeinternetowe"/>
            <w:rFonts w:asciiTheme="minorHAnsi" w:hAnsiTheme="minorHAnsi" w:cstheme="minorHAnsi"/>
            <w:sz w:val="18"/>
            <w:szCs w:val="18"/>
            <w:lang w:val="en-US"/>
          </w:rPr>
          <w:t>https://www.strazgraniczna.pl/pl/granica/statystyki-sg/2206,Statystyki-SG.html</w:t>
        </w:r>
      </w:hyperlink>
      <w:r w:rsidRPr="00FF10AE">
        <w:rPr>
          <w:rFonts w:asciiTheme="minorHAnsi" w:hAnsiTheme="minorHAnsi" w:cstheme="minorHAnsi"/>
          <w:sz w:val="18"/>
          <w:szCs w:val="18"/>
          <w:lang w:val="en-US"/>
        </w:rPr>
        <w:t xml:space="preserve"> </w:t>
      </w:r>
    </w:p>
  </w:footnote>
  <w:footnote w:id="17">
    <w:p w14:paraId="64B6459C"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T</w:t>
      </w:r>
      <w:r w:rsidRPr="00FF10AE">
        <w:rPr>
          <w:rStyle w:val="tlid-translation"/>
          <w:rFonts w:asciiTheme="minorHAnsi" w:hAnsiTheme="minorHAnsi" w:cstheme="minorHAnsi"/>
          <w:sz w:val="18"/>
          <w:szCs w:val="18"/>
          <w:lang w:val="en"/>
        </w:rPr>
        <w:t>he</w:t>
      </w:r>
      <w:proofErr w:type="spellEnd"/>
      <w:r w:rsidRPr="00FF10AE">
        <w:rPr>
          <w:rStyle w:val="tlid-translation"/>
          <w:rFonts w:asciiTheme="minorHAnsi" w:hAnsiTheme="minorHAnsi" w:cstheme="minorHAnsi"/>
          <w:sz w:val="18"/>
          <w:szCs w:val="18"/>
          <w:lang w:val="en"/>
        </w:rPr>
        <w:t xml:space="preserve"> declaration of intention to submit the asylum application’</w:t>
      </w:r>
      <w:r w:rsidRPr="00FF10AE">
        <w:rPr>
          <w:rFonts w:asciiTheme="minorHAnsi" w:hAnsiTheme="minorHAnsi" w:cstheme="minorHAnsi"/>
          <w:sz w:val="18"/>
          <w:szCs w:val="18"/>
          <w:lang w:val="en-US"/>
        </w:rPr>
        <w:t xml:space="preserve"> is the Polish equivalent of the institution indicated in the Article 6 of Directive 2013/32/EU as ‘making application for international protection'. The ‘acceptance of the asylum application’ mentioned in the Border Guard’s statement and the Polish law is respectively the equivalent of 'lodging' the application for international protection mentioned in art. 6 of Directive 2013/32/EU.</w:t>
      </w:r>
    </w:p>
  </w:footnote>
  <w:footnote w:id="18">
    <w:p w14:paraId="3F995BD8"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Article 70 (1) of the Act on granting protection to foreigners within the territory of the Republic of Poland. Information provided by the Border Guard Headquarter to the </w:t>
      </w:r>
      <w:r w:rsidRPr="00FF10AE">
        <w:rPr>
          <w:rFonts w:asciiTheme="minorHAnsi" w:hAnsiTheme="minorHAnsi" w:cstheme="minorHAnsi"/>
          <w:sz w:val="18"/>
          <w:szCs w:val="18"/>
        </w:rPr>
        <w:t>Association for Legal Intervention on 25 March 2020 r.</w:t>
      </w:r>
    </w:p>
  </w:footnote>
  <w:footnote w:id="19">
    <w:p w14:paraId="79655611"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Article 70 (1) of the Act on granting protection to foreigners within the territory of the Republic of Poland.</w:t>
      </w:r>
    </w:p>
  </w:footnote>
  <w:footnote w:id="20">
    <w:p w14:paraId="3FA3B9E5"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Appeal to the Minister of Interior and Administration, available at: </w:t>
      </w:r>
      <w:hyperlink r:id="rId10">
        <w:r w:rsidRPr="00FF10AE">
          <w:rPr>
            <w:rStyle w:val="czeinternetowe"/>
            <w:rFonts w:asciiTheme="minorHAnsi" w:hAnsiTheme="minorHAnsi" w:cstheme="minorHAnsi"/>
            <w:sz w:val="18"/>
            <w:szCs w:val="18"/>
            <w:lang w:val="en-US"/>
          </w:rPr>
          <w:t>https://www.hfhr.pl/wp-content/uploads/2020/03/Wyst%C4%85pienie-NGOs-do-MSWiA-2020.03.26.pdf</w:t>
        </w:r>
      </w:hyperlink>
      <w:r w:rsidRPr="00FF10AE">
        <w:rPr>
          <w:rFonts w:asciiTheme="minorHAnsi" w:hAnsiTheme="minorHAnsi" w:cstheme="minorHAnsi"/>
          <w:sz w:val="18"/>
          <w:szCs w:val="18"/>
          <w:lang w:val="en-US"/>
        </w:rPr>
        <w:t xml:space="preserve"> </w:t>
      </w:r>
    </w:p>
  </w:footnote>
  <w:footnote w:id="21">
    <w:p w14:paraId="071F5971"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Head of the Office for Foreigners,</w:t>
      </w:r>
      <w:r w:rsidRPr="00FF10AE">
        <w:rPr>
          <w:rFonts w:asciiTheme="minorHAnsi" w:hAnsiTheme="minorHAnsi" w:cstheme="minorHAnsi"/>
          <w:i/>
          <w:sz w:val="18"/>
          <w:szCs w:val="18"/>
          <w:lang w:val="en-US"/>
        </w:rPr>
        <w:t xml:space="preserve"> </w:t>
      </w:r>
      <w:r w:rsidRPr="00FF10AE">
        <w:rPr>
          <w:rFonts w:asciiTheme="minorHAnsi" w:hAnsiTheme="minorHAnsi" w:cstheme="minorHAnsi"/>
          <w:sz w:val="18"/>
          <w:szCs w:val="18"/>
          <w:lang w:val="en-US"/>
        </w:rPr>
        <w:t>report, e-mail, 8-9 January 2021.</w:t>
      </w:r>
    </w:p>
  </w:footnote>
  <w:footnote w:id="22">
    <w:p w14:paraId="58B6EFF5"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Head of the Office for Foreigners,</w:t>
      </w:r>
      <w:r w:rsidRPr="00FF10AE">
        <w:rPr>
          <w:rFonts w:asciiTheme="minorHAnsi" w:hAnsiTheme="minorHAnsi" w:cstheme="minorHAnsi"/>
          <w:i/>
          <w:sz w:val="18"/>
          <w:szCs w:val="18"/>
          <w:lang w:val="en-US"/>
        </w:rPr>
        <w:t xml:space="preserve"> </w:t>
      </w:r>
      <w:r w:rsidRPr="00FF10AE">
        <w:rPr>
          <w:rFonts w:asciiTheme="minorHAnsi" w:hAnsiTheme="minorHAnsi" w:cstheme="minorHAnsi"/>
          <w:sz w:val="18"/>
          <w:szCs w:val="18"/>
          <w:lang w:val="en-US"/>
        </w:rPr>
        <w:t xml:space="preserve">statistical data for the period of 1992-2000, available at: </w:t>
      </w:r>
      <w:hyperlink r:id="rId11">
        <w:r w:rsidRPr="00FF10AE">
          <w:rPr>
            <w:rStyle w:val="czeinternetowe"/>
            <w:rFonts w:asciiTheme="minorHAnsi" w:hAnsiTheme="minorHAnsi" w:cstheme="minorHAnsi"/>
            <w:sz w:val="18"/>
            <w:szCs w:val="18"/>
            <w:lang w:val="en-US"/>
          </w:rPr>
          <w:t>https://udsc.gov.pl/wp-content/uploads/2014/12/41206412b98bd_nsuch_gotowe.xls</w:t>
        </w:r>
      </w:hyperlink>
      <w:r w:rsidRPr="00FF10AE">
        <w:rPr>
          <w:rFonts w:asciiTheme="minorHAnsi" w:hAnsiTheme="minorHAnsi" w:cstheme="minorHAnsi"/>
          <w:sz w:val="18"/>
          <w:szCs w:val="18"/>
          <w:lang w:val="en-US"/>
        </w:rPr>
        <w:t xml:space="preserve"> </w:t>
      </w:r>
    </w:p>
  </w:footnote>
  <w:footnote w:id="23">
    <w:p w14:paraId="7D2074C6"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Head of the Office for Foreigners,</w:t>
      </w:r>
      <w:r w:rsidRPr="00FF10AE">
        <w:rPr>
          <w:rFonts w:asciiTheme="minorHAnsi" w:hAnsiTheme="minorHAnsi" w:cstheme="minorHAnsi"/>
          <w:i/>
          <w:sz w:val="18"/>
          <w:szCs w:val="18"/>
          <w:lang w:val="en-US"/>
        </w:rPr>
        <w:t xml:space="preserve"> </w:t>
      </w:r>
      <w:r w:rsidRPr="00FF10AE">
        <w:rPr>
          <w:rFonts w:asciiTheme="minorHAnsi" w:hAnsiTheme="minorHAnsi" w:cstheme="minorHAnsi"/>
          <w:sz w:val="18"/>
          <w:szCs w:val="18"/>
          <w:lang w:val="en-US"/>
        </w:rPr>
        <w:t xml:space="preserve">statistical data for the period of 2001-2003, available at: </w:t>
      </w:r>
      <w:hyperlink r:id="rId12">
        <w:r w:rsidRPr="00FF10AE">
          <w:rPr>
            <w:rStyle w:val="czeinternetowe"/>
            <w:rFonts w:asciiTheme="minorHAnsi" w:hAnsiTheme="minorHAnsi" w:cstheme="minorHAnsi"/>
            <w:sz w:val="18"/>
            <w:szCs w:val="18"/>
            <w:lang w:val="en-US"/>
          </w:rPr>
          <w:t>https://udsc.gov.pl/wp-content/uploads/2014/12/4097756888bac_polski.zip</w:t>
        </w:r>
      </w:hyperlink>
      <w:r w:rsidRPr="00FF10AE">
        <w:rPr>
          <w:rFonts w:asciiTheme="minorHAnsi" w:hAnsiTheme="minorHAnsi" w:cstheme="minorHAnsi"/>
          <w:sz w:val="18"/>
          <w:szCs w:val="18"/>
          <w:lang w:val="en-US"/>
        </w:rPr>
        <w:t xml:space="preserve"> </w:t>
      </w:r>
    </w:p>
  </w:footnote>
  <w:footnote w:id="24">
    <w:p w14:paraId="612CC9E9"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Head of the Office for Foreigners,</w:t>
      </w:r>
      <w:r w:rsidRPr="00FF10AE">
        <w:rPr>
          <w:rFonts w:asciiTheme="minorHAnsi" w:hAnsiTheme="minorHAnsi" w:cstheme="minorHAnsi"/>
          <w:i/>
          <w:sz w:val="18"/>
          <w:szCs w:val="18"/>
          <w:lang w:val="en-US"/>
        </w:rPr>
        <w:t xml:space="preserve"> </w:t>
      </w:r>
      <w:r w:rsidRPr="00FF10AE">
        <w:rPr>
          <w:rFonts w:asciiTheme="minorHAnsi" w:hAnsiTheme="minorHAnsi" w:cstheme="minorHAnsi"/>
          <w:sz w:val="18"/>
          <w:szCs w:val="18"/>
          <w:lang w:val="en-US"/>
        </w:rPr>
        <w:t xml:space="preserve">statistical data for the period of 2003-2005, available at: </w:t>
      </w:r>
      <w:hyperlink r:id="rId13">
        <w:r w:rsidRPr="00FF10AE">
          <w:rPr>
            <w:rStyle w:val="czeinternetowe"/>
            <w:rFonts w:asciiTheme="minorHAnsi" w:hAnsiTheme="minorHAnsi" w:cstheme="minorHAnsi"/>
            <w:sz w:val="18"/>
            <w:szCs w:val="18"/>
            <w:lang w:val="en-US"/>
          </w:rPr>
          <w:t>https://udsc.gov.pl/wp-content/uploads/2014/12/442266f618809_dane_2003_2005.zip</w:t>
        </w:r>
      </w:hyperlink>
      <w:r w:rsidRPr="00FF10AE">
        <w:rPr>
          <w:rFonts w:asciiTheme="minorHAnsi" w:hAnsiTheme="minorHAnsi" w:cstheme="minorHAnsi"/>
          <w:sz w:val="18"/>
          <w:szCs w:val="18"/>
          <w:lang w:val="en-US"/>
        </w:rPr>
        <w:t xml:space="preserve"> </w:t>
      </w:r>
    </w:p>
  </w:footnote>
  <w:footnote w:id="25">
    <w:p w14:paraId="0E4AE4C3" w14:textId="77777777" w:rsidR="001A0A33" w:rsidRPr="00FF10AE" w:rsidRDefault="00CF13F8" w:rsidP="00FF10AE">
      <w:pPr>
        <w:pStyle w:val="FootnoteText"/>
        <w:tabs>
          <w:tab w:val="left" w:pos="0"/>
        </w:tabs>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Head of the Office for Foreigners,</w:t>
      </w:r>
      <w:r w:rsidRPr="00FF10AE">
        <w:rPr>
          <w:rFonts w:asciiTheme="minorHAnsi" w:hAnsiTheme="minorHAnsi" w:cstheme="minorHAnsi"/>
          <w:i/>
          <w:sz w:val="18"/>
          <w:szCs w:val="18"/>
          <w:lang w:val="en-US"/>
        </w:rPr>
        <w:t xml:space="preserve"> </w:t>
      </w:r>
      <w:r w:rsidRPr="00FF10AE">
        <w:rPr>
          <w:rFonts w:asciiTheme="minorHAnsi" w:hAnsiTheme="minorHAnsi" w:cstheme="minorHAnsi"/>
          <w:sz w:val="18"/>
          <w:szCs w:val="18"/>
          <w:lang w:val="en-US"/>
        </w:rPr>
        <w:t xml:space="preserve">statistical data for the period of 2006-2008, available at: </w:t>
      </w:r>
      <w:hyperlink r:id="rId14">
        <w:r w:rsidRPr="00FF10AE">
          <w:rPr>
            <w:rStyle w:val="czeinternetowe"/>
            <w:rFonts w:asciiTheme="minorHAnsi" w:hAnsiTheme="minorHAnsi" w:cstheme="minorHAnsi"/>
            <w:sz w:val="18"/>
            <w:szCs w:val="18"/>
            <w:lang w:val="en-US"/>
          </w:rPr>
          <w:t>https://udsc.gov.pl/wp-content/uploads/2014/12/biul_2006_2008_pol.xls</w:t>
        </w:r>
      </w:hyperlink>
      <w:r w:rsidRPr="00FF10AE">
        <w:rPr>
          <w:rFonts w:asciiTheme="minorHAnsi" w:hAnsiTheme="minorHAnsi" w:cstheme="minorHAnsi"/>
          <w:sz w:val="18"/>
          <w:szCs w:val="18"/>
          <w:lang w:val="en-US"/>
        </w:rPr>
        <w:t xml:space="preserve"> </w:t>
      </w:r>
    </w:p>
  </w:footnote>
  <w:footnote w:id="26">
    <w:p w14:paraId="6A36BCA4"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Eurostat, Asylum and first time asylum applicants by citizenship, age and sex Annual aggregated data (rounded) for 2008-2017, available at: </w:t>
      </w:r>
      <w:hyperlink r:id="rId15">
        <w:r w:rsidRPr="00FF10AE">
          <w:rPr>
            <w:rStyle w:val="czeinternetowe"/>
            <w:rFonts w:asciiTheme="minorHAnsi" w:hAnsiTheme="minorHAnsi" w:cstheme="minorHAnsi"/>
            <w:sz w:val="18"/>
            <w:szCs w:val="18"/>
            <w:lang w:val="en-US"/>
          </w:rPr>
          <w:t>http://appsso.eurostat.ec.europa.eu/nui/show.do?dataset=migr_asyappctza&amp;lang=en</w:t>
        </w:r>
      </w:hyperlink>
      <w:r w:rsidRPr="00FF10AE">
        <w:rPr>
          <w:rFonts w:asciiTheme="minorHAnsi" w:hAnsiTheme="minorHAnsi" w:cstheme="minorHAnsi"/>
          <w:sz w:val="18"/>
          <w:szCs w:val="18"/>
          <w:lang w:val="en-US"/>
        </w:rPr>
        <w:t xml:space="preserve"> </w:t>
      </w:r>
    </w:p>
  </w:footnote>
  <w:footnote w:id="27">
    <w:p w14:paraId="50EFDB6F"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Head of the Office for Foreigners,</w:t>
      </w:r>
      <w:r w:rsidRPr="00FF10AE">
        <w:rPr>
          <w:rFonts w:asciiTheme="minorHAnsi" w:hAnsiTheme="minorHAnsi" w:cstheme="minorHAnsi"/>
          <w:i/>
          <w:sz w:val="18"/>
          <w:szCs w:val="18"/>
          <w:lang w:val="en-US"/>
        </w:rPr>
        <w:t xml:space="preserve"> </w:t>
      </w:r>
      <w:r w:rsidRPr="00FF10AE">
        <w:rPr>
          <w:rFonts w:asciiTheme="minorHAnsi" w:hAnsiTheme="minorHAnsi" w:cstheme="minorHAnsi"/>
          <w:sz w:val="18"/>
          <w:szCs w:val="18"/>
          <w:lang w:val="en-US"/>
        </w:rPr>
        <w:t>report, e-mail, 8 January 2019.</w:t>
      </w:r>
    </w:p>
  </w:footnote>
  <w:footnote w:id="28">
    <w:p w14:paraId="1CC214D5"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European Commission for Refugees and Exiles, Asylum Information Database, country reports on Poland, available at: </w:t>
      </w:r>
      <w:hyperlink r:id="rId16">
        <w:r w:rsidRPr="00FF10AE">
          <w:rPr>
            <w:rStyle w:val="czeinternetowe"/>
            <w:rFonts w:asciiTheme="minorHAnsi" w:hAnsiTheme="minorHAnsi" w:cstheme="minorHAnsi"/>
            <w:sz w:val="18"/>
            <w:szCs w:val="18"/>
            <w:lang w:val="en-US"/>
          </w:rPr>
          <w:t>https://www.asylumineurope.org/reports/country/poland</w:t>
        </w:r>
      </w:hyperlink>
      <w:r w:rsidRPr="00FF10AE">
        <w:rPr>
          <w:rFonts w:asciiTheme="minorHAnsi" w:hAnsiTheme="minorHAnsi" w:cstheme="minorHAnsi"/>
          <w:sz w:val="18"/>
          <w:szCs w:val="18"/>
          <w:lang w:val="en-US"/>
        </w:rPr>
        <w:t xml:space="preserve"> (forthcoming 2020 update).</w:t>
      </w:r>
    </w:p>
  </w:footnote>
  <w:footnote w:id="29">
    <w:p w14:paraId="5CA5EB3F"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ECt</w:t>
      </w:r>
      <w:r w:rsidR="000C70D1">
        <w:rPr>
          <w:rFonts w:asciiTheme="minorHAnsi" w:hAnsiTheme="minorHAnsi" w:cstheme="minorHAnsi"/>
          <w:sz w:val="18"/>
          <w:szCs w:val="18"/>
          <w:lang w:val="en-US"/>
        </w:rPr>
        <w:t>HR, M.K. and Others v. Poland, application n</w:t>
      </w:r>
      <w:r w:rsidRPr="00FF10AE">
        <w:rPr>
          <w:rFonts w:asciiTheme="minorHAnsi" w:hAnsiTheme="minorHAnsi" w:cstheme="minorHAnsi"/>
          <w:sz w:val="18"/>
          <w:szCs w:val="18"/>
          <w:lang w:val="en-US"/>
        </w:rPr>
        <w:t xml:space="preserve">os. 40503/17, 42902/17, 43643/17, 23 July 2020, final 14 December 2020, available at: </w:t>
      </w:r>
      <w:hyperlink r:id="rId17">
        <w:r w:rsidRPr="00FF10AE">
          <w:rPr>
            <w:rStyle w:val="czeinternetowe"/>
            <w:rFonts w:asciiTheme="minorHAnsi" w:hAnsiTheme="minorHAnsi" w:cstheme="minorHAnsi"/>
            <w:sz w:val="18"/>
            <w:szCs w:val="18"/>
            <w:lang w:val="en-US"/>
          </w:rPr>
          <w:t>http://hudoc.echr.coe.int/eng?i=001-203840</w:t>
        </w:r>
      </w:hyperlink>
      <w:r w:rsidRPr="00FF10AE">
        <w:rPr>
          <w:rFonts w:asciiTheme="minorHAnsi" w:hAnsiTheme="minorHAnsi" w:cstheme="minorHAnsi"/>
          <w:sz w:val="18"/>
          <w:szCs w:val="18"/>
          <w:lang w:val="en-US"/>
        </w:rPr>
        <w:t xml:space="preserve"> </w:t>
      </w:r>
    </w:p>
  </w:footnote>
  <w:footnote w:id="30">
    <w:p w14:paraId="643EAEBE"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Minister of Interior and Administration, statement available at: </w:t>
      </w:r>
      <w:hyperlink r:id="rId18">
        <w:r w:rsidRPr="00FF10AE">
          <w:rPr>
            <w:rStyle w:val="czeinternetowe"/>
            <w:rFonts w:asciiTheme="minorHAnsi" w:hAnsiTheme="minorHAnsi" w:cstheme="minorHAnsi"/>
            <w:sz w:val="18"/>
            <w:szCs w:val="18"/>
            <w:lang w:val="en-US"/>
          </w:rPr>
          <w:t>http://www.sejm.gov.pl/sejm9.nsf/InterpelacjaTresc.xsp?key=BT8J9B</w:t>
        </w:r>
      </w:hyperlink>
      <w:r w:rsidRPr="00FF10AE">
        <w:rPr>
          <w:rFonts w:asciiTheme="minorHAnsi" w:hAnsiTheme="minorHAnsi" w:cstheme="minorHAnsi"/>
          <w:sz w:val="18"/>
          <w:szCs w:val="18"/>
          <w:lang w:val="en-US"/>
        </w:rPr>
        <w:t xml:space="preserve"> </w:t>
      </w:r>
    </w:p>
  </w:footnote>
  <w:footnote w:id="31">
    <w:p w14:paraId="53C2AD94"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Warsaw Bar, Advocates at the Border, information available at: </w:t>
      </w:r>
      <w:hyperlink r:id="rId19">
        <w:r w:rsidRPr="00FF10AE">
          <w:rPr>
            <w:rStyle w:val="czeinternetowe"/>
            <w:rFonts w:asciiTheme="minorHAnsi" w:hAnsiTheme="minorHAnsi" w:cstheme="minorHAnsi"/>
            <w:sz w:val="18"/>
            <w:szCs w:val="18"/>
            <w:lang w:val="en-US"/>
          </w:rPr>
          <w:t>https://informator.ora-warszawa.com.pl/2018/numer-e382018/projekt-adwokacinagranicy-zakonczyl-sie-sukcesem/</w:t>
        </w:r>
      </w:hyperlink>
      <w:r w:rsidRPr="00FF10AE">
        <w:rPr>
          <w:rFonts w:asciiTheme="minorHAnsi" w:hAnsiTheme="minorHAnsi" w:cstheme="minorHAnsi"/>
          <w:sz w:val="18"/>
          <w:szCs w:val="18"/>
          <w:lang w:val="en-US"/>
        </w:rPr>
        <w:t xml:space="preserve"> </w:t>
      </w:r>
    </w:p>
  </w:footnote>
  <w:footnote w:id="32">
    <w:p w14:paraId="6E89D896"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Minister of Interior and Administration, statement available at: </w:t>
      </w:r>
      <w:hyperlink r:id="rId20">
        <w:r w:rsidRPr="00FF10AE">
          <w:rPr>
            <w:rStyle w:val="czeinternetowe"/>
            <w:rFonts w:asciiTheme="minorHAnsi" w:hAnsiTheme="minorHAnsi" w:cstheme="minorHAnsi"/>
            <w:sz w:val="18"/>
            <w:szCs w:val="18"/>
            <w:lang w:val="en-US"/>
          </w:rPr>
          <w:t>http://www.sejm.gov.pl/sejm9.nsf/InterpelacjaTresc.xsp?key=BT8J9B</w:t>
        </w:r>
      </w:hyperlink>
      <w:r w:rsidRPr="00FF10AE">
        <w:rPr>
          <w:rFonts w:asciiTheme="minorHAnsi" w:hAnsiTheme="minorHAnsi" w:cstheme="minorHAnsi"/>
          <w:sz w:val="18"/>
          <w:szCs w:val="18"/>
          <w:lang w:val="en-US"/>
        </w:rPr>
        <w:t xml:space="preserve"> </w:t>
      </w:r>
    </w:p>
  </w:footnote>
  <w:footnote w:id="33">
    <w:p w14:paraId="3946D9D2"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Helsinki Foundation for Human Rights, </w:t>
      </w:r>
      <w:r w:rsidRPr="00FF10AE">
        <w:rPr>
          <w:rFonts w:asciiTheme="minorHAnsi" w:hAnsiTheme="minorHAnsi" w:cstheme="minorHAnsi"/>
          <w:i/>
          <w:iCs/>
          <w:sz w:val="18"/>
          <w:szCs w:val="18"/>
          <w:lang w:val="en-US"/>
        </w:rPr>
        <w:t xml:space="preserve">Access to asylum procedure at Poland’s external borders, Current situation and challenges for the future, </w:t>
      </w:r>
      <w:r w:rsidRPr="00FF10AE">
        <w:rPr>
          <w:rFonts w:asciiTheme="minorHAnsi" w:hAnsiTheme="minorHAnsi" w:cstheme="minorHAnsi"/>
          <w:sz w:val="18"/>
          <w:szCs w:val="18"/>
          <w:lang w:val="en-US"/>
        </w:rPr>
        <w:t xml:space="preserve">Warsaw, April 2019, full version in Polish available at: </w:t>
      </w:r>
      <w:r w:rsidRPr="00FF10AE">
        <w:rPr>
          <w:rStyle w:val="czeinternetowe"/>
          <w:rFonts w:asciiTheme="minorHAnsi" w:hAnsiTheme="minorHAnsi" w:cstheme="minorHAnsi"/>
          <w:sz w:val="18"/>
          <w:szCs w:val="18"/>
          <w:lang w:val="en-US"/>
        </w:rPr>
        <w:t>https://www.hfhr.pl/wp-content/uploads/2019/04/Dost%C4%99p-do-procedury-azylowej-v2.pdf</w:t>
      </w:r>
    </w:p>
  </w:footnote>
  <w:footnote w:id="34">
    <w:p w14:paraId="6E1F1358"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European Commission for Refugees and Exiles, Asylum Information Database, country reports on Poland, available at: </w:t>
      </w:r>
      <w:hyperlink r:id="rId21">
        <w:r w:rsidRPr="00FF10AE">
          <w:rPr>
            <w:rStyle w:val="czeinternetowe"/>
            <w:rFonts w:asciiTheme="minorHAnsi" w:hAnsiTheme="minorHAnsi" w:cstheme="minorHAnsi"/>
            <w:sz w:val="18"/>
            <w:szCs w:val="18"/>
            <w:lang w:val="en-US"/>
          </w:rPr>
          <w:t>https://www.asylumineurope.org/reports/country/poland</w:t>
        </w:r>
      </w:hyperlink>
      <w:r w:rsidRPr="00FF10AE">
        <w:rPr>
          <w:rFonts w:asciiTheme="minorHAnsi" w:hAnsiTheme="minorHAnsi" w:cstheme="minorHAnsi"/>
          <w:sz w:val="18"/>
          <w:szCs w:val="18"/>
          <w:lang w:val="en-US"/>
        </w:rPr>
        <w:t xml:space="preserve"> (forthcoming 2020 update).</w:t>
      </w:r>
    </w:p>
  </w:footnote>
  <w:footnote w:id="35">
    <w:p w14:paraId="393610CE"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36">
    <w:p w14:paraId="6A2F6FCC"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Poland, Border Guard, Border Guard Headquarters (</w:t>
      </w:r>
      <w:proofErr w:type="spellStart"/>
      <w:r w:rsidRPr="00FF10AE">
        <w:rPr>
          <w:rFonts w:asciiTheme="minorHAnsi" w:hAnsiTheme="minorHAnsi" w:cstheme="minorHAnsi"/>
          <w:sz w:val="18"/>
          <w:szCs w:val="18"/>
        </w:rPr>
        <w:t>Straż</w:t>
      </w:r>
      <w:proofErr w:type="spellEnd"/>
      <w:r w:rsidRPr="00FF10AE">
        <w:rPr>
          <w:rFonts w:asciiTheme="minorHAnsi" w:hAnsiTheme="minorHAnsi" w:cstheme="minorHAnsi"/>
          <w:sz w:val="18"/>
          <w:szCs w:val="18"/>
        </w:rPr>
        <w:t xml:space="preserve"> </w:t>
      </w:r>
      <w:proofErr w:type="spellStart"/>
      <w:r w:rsidRPr="00FF10AE">
        <w:rPr>
          <w:rFonts w:asciiTheme="minorHAnsi" w:hAnsiTheme="minorHAnsi" w:cstheme="minorHAnsi"/>
          <w:sz w:val="18"/>
          <w:szCs w:val="18"/>
        </w:rPr>
        <w:t>Graniczna</w:t>
      </w:r>
      <w:proofErr w:type="spellEnd"/>
      <w:r w:rsidRPr="00FF10AE">
        <w:rPr>
          <w:rFonts w:asciiTheme="minorHAnsi" w:hAnsiTheme="minorHAnsi" w:cstheme="minorHAnsi"/>
          <w:sz w:val="18"/>
          <w:szCs w:val="18"/>
        </w:rPr>
        <w:t>, SG), e-mail, 25, 29 June 2020.</w:t>
      </w:r>
    </w:p>
  </w:footnote>
  <w:footnote w:id="37">
    <w:p w14:paraId="38E0D175"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Poland, Border Guard, Border Guard Headquarters (</w:t>
      </w:r>
      <w:proofErr w:type="spellStart"/>
      <w:r w:rsidRPr="00FF10AE">
        <w:rPr>
          <w:rFonts w:asciiTheme="minorHAnsi" w:hAnsiTheme="minorHAnsi" w:cstheme="minorHAnsi"/>
          <w:sz w:val="18"/>
          <w:szCs w:val="18"/>
        </w:rPr>
        <w:t>Straż</w:t>
      </w:r>
      <w:proofErr w:type="spellEnd"/>
      <w:r w:rsidRPr="00FF10AE">
        <w:rPr>
          <w:rFonts w:asciiTheme="minorHAnsi" w:hAnsiTheme="minorHAnsi" w:cstheme="minorHAnsi"/>
          <w:sz w:val="18"/>
          <w:szCs w:val="18"/>
        </w:rPr>
        <w:t xml:space="preserve"> </w:t>
      </w:r>
      <w:proofErr w:type="spellStart"/>
      <w:r w:rsidRPr="00FF10AE">
        <w:rPr>
          <w:rFonts w:asciiTheme="minorHAnsi" w:hAnsiTheme="minorHAnsi" w:cstheme="minorHAnsi"/>
          <w:sz w:val="18"/>
          <w:szCs w:val="18"/>
        </w:rPr>
        <w:t>Graniczna</w:t>
      </w:r>
      <w:proofErr w:type="spellEnd"/>
      <w:r w:rsidRPr="00FF10AE">
        <w:rPr>
          <w:rFonts w:asciiTheme="minorHAnsi" w:hAnsiTheme="minorHAnsi" w:cstheme="minorHAnsi"/>
          <w:sz w:val="18"/>
          <w:szCs w:val="18"/>
        </w:rPr>
        <w:t>, SG), e-mail, 1-2 October 2020.</w:t>
      </w:r>
    </w:p>
  </w:footnote>
  <w:footnote w:id="38">
    <w:p w14:paraId="23D04202"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Poland, Border Guard, Border Guard Headquarters (</w:t>
      </w:r>
      <w:proofErr w:type="spellStart"/>
      <w:r w:rsidRPr="00FF10AE">
        <w:rPr>
          <w:rFonts w:asciiTheme="minorHAnsi" w:hAnsiTheme="minorHAnsi" w:cstheme="minorHAnsi"/>
          <w:sz w:val="18"/>
          <w:szCs w:val="18"/>
        </w:rPr>
        <w:t>Straż</w:t>
      </w:r>
      <w:proofErr w:type="spellEnd"/>
      <w:r w:rsidRPr="00FF10AE">
        <w:rPr>
          <w:rFonts w:asciiTheme="minorHAnsi" w:hAnsiTheme="minorHAnsi" w:cstheme="minorHAnsi"/>
          <w:sz w:val="18"/>
          <w:szCs w:val="18"/>
        </w:rPr>
        <w:t xml:space="preserve"> </w:t>
      </w:r>
      <w:proofErr w:type="spellStart"/>
      <w:r w:rsidRPr="00FF10AE">
        <w:rPr>
          <w:rFonts w:asciiTheme="minorHAnsi" w:hAnsiTheme="minorHAnsi" w:cstheme="minorHAnsi"/>
          <w:sz w:val="18"/>
          <w:szCs w:val="18"/>
        </w:rPr>
        <w:t>Graniczna</w:t>
      </w:r>
      <w:proofErr w:type="spellEnd"/>
      <w:r w:rsidRPr="00FF10AE">
        <w:rPr>
          <w:rFonts w:asciiTheme="minorHAnsi" w:hAnsiTheme="minorHAnsi" w:cstheme="minorHAnsi"/>
          <w:sz w:val="18"/>
          <w:szCs w:val="18"/>
        </w:rPr>
        <w:t>, SG), e-mail, 5 January 2021.</w:t>
      </w:r>
    </w:p>
  </w:footnote>
  <w:footnote w:id="39">
    <w:p w14:paraId="07810BAA"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European Commission for Refugees and Exiles, Asylum Information Database, country reports on Poland, available at: </w:t>
      </w:r>
      <w:hyperlink r:id="rId22">
        <w:r w:rsidRPr="00FF10AE">
          <w:rPr>
            <w:rStyle w:val="czeinternetowe"/>
            <w:rFonts w:asciiTheme="minorHAnsi" w:hAnsiTheme="minorHAnsi" w:cstheme="minorHAnsi"/>
            <w:sz w:val="18"/>
            <w:szCs w:val="18"/>
            <w:lang w:val="en-US"/>
          </w:rPr>
          <w:t>https://www.asylumineurope.org/reports/country/poland</w:t>
        </w:r>
      </w:hyperlink>
      <w:r w:rsidRPr="00FF10AE">
        <w:rPr>
          <w:rFonts w:asciiTheme="minorHAnsi" w:hAnsiTheme="minorHAnsi" w:cstheme="minorHAnsi"/>
          <w:sz w:val="18"/>
          <w:szCs w:val="18"/>
          <w:lang w:val="en-US"/>
        </w:rPr>
        <w:t xml:space="preserve"> (forthcoming 2020 update).</w:t>
      </w:r>
    </w:p>
  </w:footnote>
  <w:footnote w:id="40">
    <w:p w14:paraId="7CA9306D"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European Commission for Refugees and Exiles, Asylum Information Database, country reports on Poland, available at: </w:t>
      </w:r>
      <w:hyperlink r:id="rId23">
        <w:r w:rsidRPr="00FF10AE">
          <w:rPr>
            <w:rStyle w:val="czeinternetowe"/>
            <w:rFonts w:asciiTheme="minorHAnsi" w:hAnsiTheme="minorHAnsi" w:cstheme="minorHAnsi"/>
            <w:sz w:val="18"/>
            <w:szCs w:val="18"/>
            <w:lang w:val="en-US"/>
          </w:rPr>
          <w:t>https://www.asylumineurope.org/reports/country/poland</w:t>
        </w:r>
      </w:hyperlink>
      <w:r w:rsidRPr="00FF10AE">
        <w:rPr>
          <w:rFonts w:asciiTheme="minorHAnsi" w:hAnsiTheme="minorHAnsi" w:cstheme="minorHAnsi"/>
          <w:sz w:val="18"/>
          <w:szCs w:val="18"/>
          <w:lang w:val="en-US"/>
        </w:rPr>
        <w:t xml:space="preserve"> (forthcoming 2020 update).</w:t>
      </w:r>
    </w:p>
  </w:footnote>
  <w:footnote w:id="41">
    <w:p w14:paraId="01B3C43B"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Poland, Head of the Office for Foreigners (</w:t>
      </w:r>
      <w:proofErr w:type="spellStart"/>
      <w:r w:rsidRPr="00FF10AE">
        <w:rPr>
          <w:rFonts w:asciiTheme="minorHAnsi" w:hAnsiTheme="minorHAnsi" w:cstheme="minorHAnsi"/>
          <w:sz w:val="18"/>
          <w:szCs w:val="18"/>
          <w:lang w:val="en-US"/>
        </w:rPr>
        <w:t>Szef</w:t>
      </w:r>
      <w:proofErr w:type="spellEnd"/>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Urzędu</w:t>
      </w:r>
      <w:proofErr w:type="spellEnd"/>
      <w:r w:rsidRPr="00FF10AE">
        <w:rPr>
          <w:rFonts w:asciiTheme="minorHAnsi" w:hAnsiTheme="minorHAnsi" w:cstheme="minorHAnsi"/>
          <w:sz w:val="18"/>
          <w:szCs w:val="18"/>
          <w:lang w:val="en-US"/>
        </w:rPr>
        <w:t xml:space="preserve"> do </w:t>
      </w:r>
      <w:proofErr w:type="spellStart"/>
      <w:r w:rsidRPr="00FF10AE">
        <w:rPr>
          <w:rFonts w:asciiTheme="minorHAnsi" w:hAnsiTheme="minorHAnsi" w:cstheme="minorHAnsi"/>
          <w:sz w:val="18"/>
          <w:szCs w:val="18"/>
          <w:lang w:val="en-US"/>
        </w:rPr>
        <w:t>Spraw</w:t>
      </w:r>
      <w:proofErr w:type="spellEnd"/>
      <w:r w:rsidRPr="00FF10AE">
        <w:rPr>
          <w:rFonts w:asciiTheme="minorHAnsi" w:hAnsiTheme="minorHAnsi" w:cstheme="minorHAnsi"/>
          <w:sz w:val="18"/>
          <w:szCs w:val="18"/>
          <w:lang w:val="en-US"/>
        </w:rPr>
        <w:t xml:space="preserve"> </w:t>
      </w:r>
      <w:proofErr w:type="spellStart"/>
      <w:r w:rsidRPr="00FF10AE">
        <w:rPr>
          <w:rFonts w:asciiTheme="minorHAnsi" w:hAnsiTheme="minorHAnsi" w:cstheme="minorHAnsi"/>
          <w:sz w:val="18"/>
          <w:szCs w:val="18"/>
          <w:lang w:val="en-US"/>
        </w:rPr>
        <w:t>Cudzoziemców</w:t>
      </w:r>
      <w:proofErr w:type="spellEnd"/>
      <w:r w:rsidRPr="00FF10AE">
        <w:rPr>
          <w:rFonts w:asciiTheme="minorHAnsi" w:hAnsiTheme="minorHAnsi" w:cstheme="minorHAnsi"/>
          <w:sz w:val="18"/>
          <w:szCs w:val="18"/>
          <w:lang w:val="en-US"/>
        </w:rPr>
        <w:t>, UDSC), e-mail, 8</w:t>
      </w:r>
      <w:r w:rsidRPr="00FF10AE">
        <w:rPr>
          <w:rFonts w:asciiTheme="minorHAnsi" w:hAnsiTheme="minorHAnsi" w:cstheme="minorHAnsi"/>
          <w:sz w:val="18"/>
          <w:szCs w:val="18"/>
        </w:rPr>
        <w:t>-9 January 2021.</w:t>
      </w:r>
    </w:p>
  </w:footnote>
  <w:footnote w:id="42">
    <w:p w14:paraId="687BBE02" w14:textId="77777777" w:rsidR="001A0A33" w:rsidRPr="00FF10AE" w:rsidRDefault="00CF13F8" w:rsidP="00FF10AE">
      <w:pPr>
        <w:pStyle w:val="FootnoteText"/>
        <w:jc w:val="both"/>
        <w:rPr>
          <w:rFonts w:asciiTheme="minorHAnsi" w:hAnsiTheme="minorHAnsi" w:cstheme="minorHAnsi"/>
          <w:sz w:val="18"/>
          <w:szCs w:val="18"/>
          <w:lang w:val="pl-PL"/>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I</w:t>
      </w:r>
      <w:r w:rsidR="00E43B64" w:rsidRPr="00FF10AE">
        <w:rPr>
          <w:rFonts w:asciiTheme="minorHAnsi" w:hAnsiTheme="minorHAnsi" w:cstheme="minorHAnsi"/>
          <w:sz w:val="18"/>
          <w:szCs w:val="18"/>
        </w:rPr>
        <w:t xml:space="preserve">n 2014 HFHR raised this issue, information available at: </w:t>
      </w:r>
      <w:r w:rsidR="00E43B64" w:rsidRPr="00FF10AE">
        <w:rPr>
          <w:rFonts w:asciiTheme="minorHAnsi" w:hAnsiTheme="minorHAnsi" w:cstheme="minorHAnsi"/>
          <w:sz w:val="18"/>
          <w:szCs w:val="18"/>
        </w:rPr>
        <w:br/>
      </w:r>
      <w:hyperlink r:id="rId24" w:tgtFrame="_blank" w:history="1">
        <w:r w:rsidR="00E43B64" w:rsidRPr="00FF10AE">
          <w:rPr>
            <w:rStyle w:val="Hyperlink"/>
            <w:rFonts w:asciiTheme="minorHAnsi" w:hAnsiTheme="minorHAnsi" w:cstheme="minorHAnsi"/>
            <w:sz w:val="18"/>
            <w:szCs w:val="18"/>
          </w:rPr>
          <w:t>https://www.hfhr.pl/wp-content/uploads/2014/12/HFPC_w_poszukiwaniu_ochrony.pdf</w:t>
        </w:r>
      </w:hyperlink>
      <w:r w:rsidR="00E43B64" w:rsidRPr="00FF10AE">
        <w:rPr>
          <w:rFonts w:asciiTheme="minorHAnsi" w:hAnsiTheme="minorHAnsi" w:cstheme="minorHAnsi"/>
          <w:sz w:val="18"/>
          <w:szCs w:val="18"/>
        </w:rPr>
        <w:t xml:space="preserve"> ; In 2015</w:t>
      </w:r>
      <w:r w:rsidR="00E43B64" w:rsidRPr="00FF10AE">
        <w:rPr>
          <w:rFonts w:asciiTheme="minorHAnsi" w:hAnsiTheme="minorHAnsi" w:cstheme="minorHAnsi"/>
          <w:sz w:val="18"/>
          <w:szCs w:val="18"/>
        </w:rPr>
        <w:br/>
      </w:r>
      <w:r w:rsidRPr="00FF10AE">
        <w:rPr>
          <w:rFonts w:asciiTheme="minorHAnsi" w:hAnsiTheme="minorHAnsi" w:cstheme="minorHAnsi"/>
          <w:sz w:val="18"/>
          <w:szCs w:val="18"/>
        </w:rPr>
        <w:t xml:space="preserve"> HFHR proposed that amount of financial allowance should be indexed</w:t>
      </w:r>
      <w:r w:rsidR="00E43B64" w:rsidRPr="00FF10AE">
        <w:rPr>
          <w:rFonts w:asciiTheme="minorHAnsi" w:hAnsiTheme="minorHAnsi" w:cstheme="minorHAnsi"/>
          <w:sz w:val="18"/>
          <w:szCs w:val="18"/>
        </w:rPr>
        <w:t>, Information available at:</w:t>
      </w:r>
      <w:r w:rsidR="00E43B64" w:rsidRPr="00FF10AE" w:rsidDel="00E43B64">
        <w:rPr>
          <w:rFonts w:asciiTheme="minorHAnsi" w:hAnsiTheme="minorHAnsi" w:cstheme="minorHAnsi"/>
          <w:sz w:val="18"/>
          <w:szCs w:val="18"/>
        </w:rPr>
        <w:t xml:space="preserve"> </w:t>
      </w:r>
      <w:hyperlink r:id="rId25" w:history="1">
        <w:r w:rsidR="00B60B06" w:rsidRPr="00775229">
          <w:rPr>
            <w:rStyle w:val="Hyperlink"/>
            <w:rFonts w:asciiTheme="minorHAnsi" w:hAnsiTheme="minorHAnsi" w:cstheme="minorHAnsi"/>
            <w:sz w:val="18"/>
            <w:szCs w:val="18"/>
          </w:rPr>
          <w:t>https://archiwumbip.mswia.gov.pl/download/4/24848/Uwagi-HFPC.pdf</w:t>
        </w:r>
      </w:hyperlink>
      <w:r w:rsidR="00B60B06">
        <w:rPr>
          <w:rFonts w:asciiTheme="minorHAnsi" w:hAnsiTheme="minorHAnsi" w:cstheme="minorHAnsi"/>
          <w:sz w:val="18"/>
          <w:szCs w:val="18"/>
        </w:rPr>
        <w:t xml:space="preserve"> </w:t>
      </w:r>
      <w:r w:rsidR="00FF10AE" w:rsidRPr="00FF10AE">
        <w:rPr>
          <w:rFonts w:asciiTheme="minorHAnsi" w:hAnsiTheme="minorHAnsi" w:cstheme="minorHAnsi"/>
          <w:sz w:val="18"/>
          <w:szCs w:val="18"/>
        </w:rPr>
        <w:t>; In 2020 c</w:t>
      </w:r>
      <w:r w:rsidRPr="00FF10AE">
        <w:rPr>
          <w:rFonts w:asciiTheme="minorHAnsi" w:hAnsiTheme="minorHAnsi" w:cstheme="minorHAnsi"/>
          <w:sz w:val="18"/>
          <w:szCs w:val="18"/>
        </w:rPr>
        <w:t>omplaint to the European Commission</w:t>
      </w:r>
      <w:r w:rsidR="00FF10AE" w:rsidRPr="00FF10AE">
        <w:rPr>
          <w:rFonts w:asciiTheme="minorHAnsi" w:hAnsiTheme="minorHAnsi" w:cstheme="minorHAnsi"/>
          <w:sz w:val="18"/>
          <w:szCs w:val="18"/>
        </w:rPr>
        <w:t xml:space="preserve"> on</w:t>
      </w:r>
      <w:r w:rsidRPr="00FF10AE">
        <w:rPr>
          <w:rFonts w:asciiTheme="minorHAnsi" w:hAnsiTheme="minorHAnsi" w:cstheme="minorHAnsi"/>
          <w:sz w:val="18"/>
          <w:szCs w:val="18"/>
        </w:rPr>
        <w:t xml:space="preserve"> insufficient allowances for asylum seekers</w:t>
      </w:r>
      <w:r w:rsidR="00FF10AE" w:rsidRPr="00FF10AE">
        <w:rPr>
          <w:rFonts w:asciiTheme="minorHAnsi" w:hAnsiTheme="minorHAnsi" w:cstheme="minorHAnsi"/>
          <w:sz w:val="18"/>
          <w:szCs w:val="18"/>
        </w:rPr>
        <w:t xml:space="preserve"> was submitted</w:t>
      </w:r>
      <w:r w:rsidRPr="00FF10AE">
        <w:rPr>
          <w:rFonts w:asciiTheme="minorHAnsi" w:hAnsiTheme="minorHAnsi" w:cstheme="minorHAnsi"/>
          <w:sz w:val="18"/>
          <w:szCs w:val="18"/>
        </w:rPr>
        <w:t xml:space="preserve">, </w:t>
      </w:r>
      <w:r w:rsidRPr="00FF10AE">
        <w:rPr>
          <w:rFonts w:asciiTheme="minorHAnsi" w:hAnsiTheme="minorHAnsi" w:cstheme="minorHAnsi"/>
          <w:sz w:val="18"/>
          <w:szCs w:val="18"/>
          <w:lang w:val="pl-PL"/>
        </w:rPr>
        <w:t xml:space="preserve">Information available at: </w:t>
      </w:r>
      <w:r w:rsidR="00720FAA">
        <w:fldChar w:fldCharType="begin"/>
      </w:r>
      <w:r w:rsidR="00720FAA">
        <w:instrText xml:space="preserve"> HYPERLINK "https://interwencjaprawna.pl/en/complaint-t</w:instrText>
      </w:r>
      <w:r w:rsidR="00720FAA">
        <w:instrText xml:space="preserve">o-the-ec-extremely-low-amount-of-financial-allowances-for-asylum-seekers/" \h </w:instrText>
      </w:r>
      <w:r w:rsidR="00720FAA">
        <w:fldChar w:fldCharType="separate"/>
      </w:r>
      <w:r w:rsidRPr="00FF10AE">
        <w:rPr>
          <w:rStyle w:val="czeinternetowe"/>
          <w:rFonts w:asciiTheme="minorHAnsi" w:hAnsiTheme="minorHAnsi" w:cstheme="minorHAnsi"/>
          <w:sz w:val="18"/>
          <w:szCs w:val="18"/>
          <w:lang w:val="pl-PL"/>
        </w:rPr>
        <w:t>https://interwencjaprawna.pl/en/complaint-to-the-ec-extremely-low-amount-of-financial-allowances-for-asylum-seekers/</w:t>
      </w:r>
      <w:r w:rsidR="00720FAA">
        <w:rPr>
          <w:rStyle w:val="czeinternetowe"/>
          <w:rFonts w:asciiTheme="minorHAnsi" w:hAnsiTheme="minorHAnsi" w:cstheme="minorHAnsi"/>
          <w:sz w:val="18"/>
          <w:szCs w:val="18"/>
          <w:lang w:val="pl-PL"/>
        </w:rPr>
        <w:fldChar w:fldCharType="end"/>
      </w:r>
      <w:r w:rsidRPr="00FF10AE">
        <w:rPr>
          <w:rFonts w:asciiTheme="minorHAnsi" w:hAnsiTheme="minorHAnsi" w:cstheme="minorHAnsi"/>
          <w:sz w:val="18"/>
          <w:szCs w:val="18"/>
          <w:lang w:val="pl-PL"/>
        </w:rPr>
        <w:t xml:space="preserve"> </w:t>
      </w:r>
    </w:p>
  </w:footnote>
  <w:footnote w:id="43">
    <w:p w14:paraId="6E3543DE"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European Commission for Refugees and Exiles, Asylum Information Database, country reports on Poland, available at: </w:t>
      </w:r>
      <w:hyperlink r:id="rId26">
        <w:r w:rsidRPr="00FF10AE">
          <w:rPr>
            <w:rStyle w:val="czeinternetowe"/>
            <w:rFonts w:asciiTheme="minorHAnsi" w:hAnsiTheme="minorHAnsi" w:cstheme="minorHAnsi"/>
            <w:sz w:val="18"/>
            <w:szCs w:val="18"/>
            <w:lang w:val="en-US"/>
          </w:rPr>
          <w:t>https://www.asylumineurope.org/reports/country/poland</w:t>
        </w:r>
      </w:hyperlink>
      <w:r w:rsidRPr="00FF10AE">
        <w:rPr>
          <w:rFonts w:asciiTheme="minorHAnsi" w:hAnsiTheme="minorHAnsi" w:cstheme="minorHAnsi"/>
          <w:sz w:val="18"/>
          <w:szCs w:val="18"/>
          <w:lang w:val="en-US"/>
        </w:rPr>
        <w:t xml:space="preserve"> (forthcoming 2020 update).</w:t>
      </w:r>
    </w:p>
  </w:footnote>
  <w:footnote w:id="44">
    <w:p w14:paraId="0C799722"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Poland, Border Guard, Border Guard Headquarters (</w:t>
      </w:r>
      <w:proofErr w:type="spellStart"/>
      <w:r w:rsidRPr="00FF10AE">
        <w:rPr>
          <w:rFonts w:asciiTheme="minorHAnsi" w:hAnsiTheme="minorHAnsi" w:cstheme="minorHAnsi"/>
          <w:sz w:val="18"/>
          <w:szCs w:val="18"/>
        </w:rPr>
        <w:t>Straż</w:t>
      </w:r>
      <w:proofErr w:type="spellEnd"/>
      <w:r w:rsidRPr="00FF10AE">
        <w:rPr>
          <w:rFonts w:asciiTheme="minorHAnsi" w:hAnsiTheme="minorHAnsi" w:cstheme="minorHAnsi"/>
          <w:sz w:val="18"/>
          <w:szCs w:val="18"/>
        </w:rPr>
        <w:t xml:space="preserve"> </w:t>
      </w:r>
      <w:proofErr w:type="spellStart"/>
      <w:r w:rsidRPr="00FF10AE">
        <w:rPr>
          <w:rFonts w:asciiTheme="minorHAnsi" w:hAnsiTheme="minorHAnsi" w:cstheme="minorHAnsi"/>
          <w:sz w:val="18"/>
          <w:szCs w:val="18"/>
        </w:rPr>
        <w:t>Graniczna</w:t>
      </w:r>
      <w:proofErr w:type="spellEnd"/>
      <w:r w:rsidRPr="00FF10AE">
        <w:rPr>
          <w:rFonts w:asciiTheme="minorHAnsi" w:hAnsiTheme="minorHAnsi" w:cstheme="minorHAnsi"/>
          <w:sz w:val="18"/>
          <w:szCs w:val="18"/>
        </w:rPr>
        <w:t>, SG), e-mail, 25, 29 June 2020.</w:t>
      </w:r>
    </w:p>
  </w:footnote>
  <w:footnote w:id="45">
    <w:p w14:paraId="2FA7B404"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Poland, Border Guard, Border Guard Headquarters (</w:t>
      </w:r>
      <w:proofErr w:type="spellStart"/>
      <w:r w:rsidRPr="00FF10AE">
        <w:rPr>
          <w:rFonts w:asciiTheme="minorHAnsi" w:hAnsiTheme="minorHAnsi" w:cstheme="minorHAnsi"/>
          <w:sz w:val="18"/>
          <w:szCs w:val="18"/>
        </w:rPr>
        <w:t>Straż</w:t>
      </w:r>
      <w:proofErr w:type="spellEnd"/>
      <w:r w:rsidRPr="00FF10AE">
        <w:rPr>
          <w:rFonts w:asciiTheme="minorHAnsi" w:hAnsiTheme="minorHAnsi" w:cstheme="minorHAnsi"/>
          <w:sz w:val="18"/>
          <w:szCs w:val="18"/>
        </w:rPr>
        <w:t xml:space="preserve"> </w:t>
      </w:r>
      <w:proofErr w:type="spellStart"/>
      <w:r w:rsidRPr="00FF10AE">
        <w:rPr>
          <w:rFonts w:asciiTheme="minorHAnsi" w:hAnsiTheme="minorHAnsi" w:cstheme="minorHAnsi"/>
          <w:sz w:val="18"/>
          <w:szCs w:val="18"/>
        </w:rPr>
        <w:t>Graniczna</w:t>
      </w:r>
      <w:proofErr w:type="spellEnd"/>
      <w:r w:rsidRPr="00FF10AE">
        <w:rPr>
          <w:rFonts w:asciiTheme="minorHAnsi" w:hAnsiTheme="minorHAnsi" w:cstheme="minorHAnsi"/>
          <w:sz w:val="18"/>
          <w:szCs w:val="18"/>
        </w:rPr>
        <w:t>, SG), e-mail, 1-2 October 2020.</w:t>
      </w:r>
    </w:p>
  </w:footnote>
  <w:footnote w:id="46">
    <w:p w14:paraId="4FB1CDED"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Poland, Border Guard, Border Guard Headquarters (</w:t>
      </w:r>
      <w:proofErr w:type="spellStart"/>
      <w:r w:rsidRPr="00FF10AE">
        <w:rPr>
          <w:rFonts w:asciiTheme="minorHAnsi" w:hAnsiTheme="minorHAnsi" w:cstheme="minorHAnsi"/>
          <w:sz w:val="18"/>
          <w:szCs w:val="18"/>
        </w:rPr>
        <w:t>Straż</w:t>
      </w:r>
      <w:proofErr w:type="spellEnd"/>
      <w:r w:rsidRPr="00FF10AE">
        <w:rPr>
          <w:rFonts w:asciiTheme="minorHAnsi" w:hAnsiTheme="minorHAnsi" w:cstheme="minorHAnsi"/>
          <w:sz w:val="18"/>
          <w:szCs w:val="18"/>
        </w:rPr>
        <w:t xml:space="preserve"> </w:t>
      </w:r>
      <w:proofErr w:type="spellStart"/>
      <w:r w:rsidRPr="00FF10AE">
        <w:rPr>
          <w:rFonts w:asciiTheme="minorHAnsi" w:hAnsiTheme="minorHAnsi" w:cstheme="minorHAnsi"/>
          <w:sz w:val="18"/>
          <w:szCs w:val="18"/>
        </w:rPr>
        <w:t>Graniczna</w:t>
      </w:r>
      <w:proofErr w:type="spellEnd"/>
      <w:r w:rsidRPr="00FF10AE">
        <w:rPr>
          <w:rFonts w:asciiTheme="minorHAnsi" w:hAnsiTheme="minorHAnsi" w:cstheme="minorHAnsi"/>
          <w:sz w:val="18"/>
          <w:szCs w:val="18"/>
        </w:rPr>
        <w:t>, SG), e-mail, 5 January 2021.</w:t>
      </w:r>
    </w:p>
  </w:footnote>
  <w:footnote w:id="47">
    <w:p w14:paraId="7335DA15" w14:textId="77777777" w:rsidR="001A0A33" w:rsidRPr="00FF10AE" w:rsidRDefault="00CF13F8" w:rsidP="00FF10AE">
      <w:pPr>
        <w:pStyle w:val="FootnoteText"/>
        <w:jc w:val="both"/>
        <w:rPr>
          <w:rFonts w:asciiTheme="minorHAnsi" w:hAnsiTheme="minorHAnsi" w:cstheme="minorHAnsi"/>
          <w:sz w:val="18"/>
          <w:szCs w:val="18"/>
          <w:lang w:val="pl-PL"/>
        </w:rPr>
      </w:pPr>
      <w:r w:rsidRPr="00FF10AE">
        <w:rPr>
          <w:rStyle w:val="Znakiprzypiswdolnych"/>
          <w:rFonts w:asciiTheme="minorHAnsi" w:hAnsiTheme="minorHAnsi" w:cstheme="minorHAnsi"/>
          <w:sz w:val="18"/>
          <w:szCs w:val="18"/>
        </w:rPr>
        <w:footnoteRef/>
      </w:r>
      <w:r w:rsidR="000C70D1">
        <w:rPr>
          <w:rFonts w:asciiTheme="minorHAnsi" w:hAnsiTheme="minorHAnsi" w:cstheme="minorHAnsi"/>
          <w:sz w:val="18"/>
          <w:szCs w:val="18"/>
        </w:rPr>
        <w:t xml:space="preserve"> ECtHR, </w:t>
      </w:r>
      <w:proofErr w:type="spellStart"/>
      <w:r w:rsidR="000C70D1">
        <w:rPr>
          <w:rFonts w:asciiTheme="minorHAnsi" w:hAnsiTheme="minorHAnsi" w:cstheme="minorHAnsi"/>
          <w:sz w:val="18"/>
          <w:szCs w:val="18"/>
        </w:rPr>
        <w:t>Bilalova</w:t>
      </w:r>
      <w:proofErr w:type="spellEnd"/>
      <w:r w:rsidR="000C70D1">
        <w:rPr>
          <w:rFonts w:asciiTheme="minorHAnsi" w:hAnsiTheme="minorHAnsi" w:cstheme="minorHAnsi"/>
          <w:sz w:val="18"/>
          <w:szCs w:val="18"/>
        </w:rPr>
        <w:t xml:space="preserve"> and Others v</w:t>
      </w:r>
      <w:r w:rsidRPr="00FF10AE">
        <w:rPr>
          <w:rFonts w:asciiTheme="minorHAnsi" w:hAnsiTheme="minorHAnsi" w:cstheme="minorHAnsi"/>
          <w:sz w:val="18"/>
          <w:szCs w:val="18"/>
        </w:rPr>
        <w:t xml:space="preserve">. Poland, application no. 23685/14, available at: </w:t>
      </w:r>
      <w:hyperlink r:id="rId27">
        <w:r w:rsidRPr="00FF10AE">
          <w:rPr>
            <w:rStyle w:val="czeinternetowe"/>
            <w:rFonts w:asciiTheme="minorHAnsi" w:hAnsiTheme="minorHAnsi" w:cstheme="minorHAnsi"/>
            <w:sz w:val="18"/>
            <w:szCs w:val="18"/>
          </w:rPr>
          <w:t>http://hudoc.echr.coe.int/eng?i=001-201895</w:t>
        </w:r>
      </w:hyperlink>
      <w:r w:rsidRPr="00FF10AE">
        <w:rPr>
          <w:rFonts w:asciiTheme="minorHAnsi" w:hAnsiTheme="minorHAnsi" w:cstheme="minorHAnsi"/>
          <w:sz w:val="18"/>
          <w:szCs w:val="18"/>
        </w:rPr>
        <w:t xml:space="preserve"> </w:t>
      </w:r>
    </w:p>
  </w:footnote>
  <w:footnote w:id="48">
    <w:p w14:paraId="73FC416D" w14:textId="77777777" w:rsidR="001A0A33" w:rsidRPr="00FF10AE" w:rsidRDefault="00CF13F8" w:rsidP="00FF10AE">
      <w:pPr>
        <w:pStyle w:val="FootnoteText"/>
        <w:jc w:val="both"/>
        <w:rPr>
          <w:rFonts w:asciiTheme="minorHAnsi" w:hAnsiTheme="minorHAnsi" w:cstheme="minorHAnsi"/>
          <w:sz w:val="18"/>
          <w:szCs w:val="18"/>
          <w:lang w:val="pl-PL"/>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ECtHR, </w:t>
      </w:r>
      <w:r w:rsidR="000C70D1">
        <w:rPr>
          <w:rFonts w:asciiTheme="minorHAnsi" w:hAnsiTheme="minorHAnsi" w:cstheme="minorHAnsi"/>
          <w:sz w:val="18"/>
          <w:szCs w:val="18"/>
        </w:rPr>
        <w:t xml:space="preserve">A.B. and Others v. Poland, </w:t>
      </w:r>
      <w:r w:rsidRPr="00FF10AE">
        <w:rPr>
          <w:rFonts w:asciiTheme="minorHAnsi" w:hAnsiTheme="minorHAnsi" w:cstheme="minorHAnsi"/>
          <w:sz w:val="18"/>
          <w:szCs w:val="18"/>
        </w:rPr>
        <w:t xml:space="preserve">applications no. 15845/15 and 56300/15, available at: </w:t>
      </w:r>
      <w:hyperlink r:id="rId28">
        <w:r w:rsidRPr="00FF10AE">
          <w:rPr>
            <w:rStyle w:val="czeinternetowe"/>
            <w:rFonts w:asciiTheme="minorHAnsi" w:hAnsiTheme="minorHAnsi" w:cstheme="minorHAnsi"/>
            <w:sz w:val="18"/>
            <w:szCs w:val="18"/>
          </w:rPr>
          <w:t>http://hudoc.echr.coe.int/eng?i=001-202693</w:t>
        </w:r>
      </w:hyperlink>
      <w:r w:rsidRPr="00FF10AE">
        <w:rPr>
          <w:rFonts w:asciiTheme="minorHAnsi" w:hAnsiTheme="minorHAnsi" w:cstheme="minorHAnsi"/>
          <w:sz w:val="18"/>
          <w:szCs w:val="18"/>
        </w:rPr>
        <w:t xml:space="preserve"> </w:t>
      </w:r>
    </w:p>
  </w:footnote>
  <w:footnote w:id="49">
    <w:p w14:paraId="2F66DEB8" w14:textId="77777777" w:rsidR="001A0A33" w:rsidRPr="00FF10AE" w:rsidRDefault="00CF13F8" w:rsidP="00FF10AE">
      <w:pPr>
        <w:pStyle w:val="FootnoteText"/>
        <w:jc w:val="both"/>
        <w:rPr>
          <w:rFonts w:asciiTheme="minorHAnsi" w:hAnsiTheme="minorHAnsi" w:cstheme="minorHAnsi"/>
          <w:sz w:val="18"/>
          <w:szCs w:val="18"/>
          <w:lang w:val="pl-PL"/>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rPr>
        <w:t xml:space="preserve"> ECtHR, </w:t>
      </w:r>
      <w:proofErr w:type="spellStart"/>
      <w:r w:rsidRPr="00FF10AE">
        <w:rPr>
          <w:rFonts w:asciiTheme="minorHAnsi" w:hAnsiTheme="minorHAnsi" w:cstheme="minorHAnsi"/>
          <w:sz w:val="18"/>
          <w:szCs w:val="18"/>
        </w:rPr>
        <w:t>Bistieva</w:t>
      </w:r>
      <w:proofErr w:type="spellEnd"/>
      <w:r w:rsidRPr="00FF10AE">
        <w:rPr>
          <w:rFonts w:asciiTheme="minorHAnsi" w:hAnsiTheme="minorHAnsi" w:cstheme="minorHAnsi"/>
          <w:sz w:val="18"/>
          <w:szCs w:val="18"/>
        </w:rPr>
        <w:t xml:space="preserve"> and Others v. Poland, application no. 75157/14, available at: </w:t>
      </w:r>
      <w:hyperlink r:id="rId29">
        <w:r w:rsidRPr="00FF10AE">
          <w:rPr>
            <w:rStyle w:val="czeinternetowe"/>
            <w:rFonts w:asciiTheme="minorHAnsi" w:hAnsiTheme="minorHAnsi" w:cstheme="minorHAnsi"/>
            <w:sz w:val="18"/>
            <w:szCs w:val="18"/>
          </w:rPr>
          <w:t>http://hudoc.echr.coe.int/eng?i=001-182210</w:t>
        </w:r>
      </w:hyperlink>
      <w:r w:rsidRPr="00FF10AE">
        <w:rPr>
          <w:rFonts w:asciiTheme="minorHAnsi" w:hAnsiTheme="minorHAnsi" w:cstheme="minorHAnsi"/>
          <w:sz w:val="18"/>
          <w:szCs w:val="18"/>
        </w:rPr>
        <w:t xml:space="preserve"> </w:t>
      </w:r>
    </w:p>
  </w:footnote>
  <w:footnote w:id="50">
    <w:p w14:paraId="187B16E2" w14:textId="77777777" w:rsidR="00551466" w:rsidRPr="00FF10AE" w:rsidRDefault="00551466" w:rsidP="00FF10AE">
      <w:pPr>
        <w:pStyle w:val="FootnoteText"/>
        <w:jc w:val="both"/>
        <w:rPr>
          <w:rFonts w:asciiTheme="minorHAnsi" w:hAnsiTheme="minorHAnsi" w:cstheme="minorHAnsi"/>
          <w:sz w:val="18"/>
          <w:szCs w:val="18"/>
          <w:lang w:val="pl-PL"/>
        </w:rPr>
      </w:pPr>
      <w:r w:rsidRPr="00FF10AE">
        <w:rPr>
          <w:rStyle w:val="FootnoteReference"/>
          <w:rFonts w:asciiTheme="minorHAnsi" w:hAnsiTheme="minorHAnsi" w:cstheme="minorHAnsi"/>
          <w:sz w:val="18"/>
          <w:szCs w:val="18"/>
        </w:rPr>
        <w:footnoteRef/>
      </w:r>
      <w:r w:rsidRPr="00FF10AE">
        <w:rPr>
          <w:rFonts w:asciiTheme="minorHAnsi" w:hAnsiTheme="minorHAnsi" w:cstheme="minorHAnsi"/>
          <w:sz w:val="18"/>
          <w:szCs w:val="18"/>
        </w:rPr>
        <w:t xml:space="preserve"> </w:t>
      </w:r>
      <w:r w:rsidRPr="00FF10AE">
        <w:rPr>
          <w:rFonts w:asciiTheme="minorHAnsi" w:hAnsiTheme="minorHAnsi" w:cstheme="minorHAnsi"/>
          <w:sz w:val="18"/>
          <w:szCs w:val="18"/>
          <w:lang w:val="pl-PL"/>
        </w:rPr>
        <w:t xml:space="preserve">Helsinki Foundation for Human Rights, information available at: </w:t>
      </w:r>
      <w:hyperlink r:id="rId30" w:history="1">
        <w:r w:rsidR="00F76864" w:rsidRPr="00FF10AE">
          <w:rPr>
            <w:rStyle w:val="Hyperlink"/>
            <w:rFonts w:asciiTheme="minorHAnsi" w:hAnsiTheme="minorHAnsi" w:cstheme="minorHAnsi"/>
            <w:sz w:val="18"/>
            <w:szCs w:val="18"/>
            <w:lang w:val="pl-PL"/>
          </w:rPr>
          <w:t>https://facebook.com/permalink.php?story_fbid=1331330067067275&amp;id=174498936083733</w:t>
        </w:r>
      </w:hyperlink>
      <w:r w:rsidR="00F76864" w:rsidRPr="00FF10AE">
        <w:rPr>
          <w:rFonts w:asciiTheme="minorHAnsi" w:hAnsiTheme="minorHAnsi" w:cstheme="minorHAnsi"/>
          <w:sz w:val="18"/>
          <w:szCs w:val="18"/>
          <w:lang w:val="pl-PL"/>
        </w:rPr>
        <w:t xml:space="preserve"> </w:t>
      </w:r>
    </w:p>
  </w:footnote>
  <w:footnote w:id="51">
    <w:p w14:paraId="45298E01"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European Commission for Refugees and Exiles, Asylum Information Database, country reports on Poland, available at: </w:t>
      </w:r>
      <w:hyperlink r:id="rId31">
        <w:r w:rsidRPr="00FF10AE">
          <w:rPr>
            <w:rStyle w:val="czeinternetowe"/>
            <w:rFonts w:asciiTheme="minorHAnsi" w:hAnsiTheme="minorHAnsi" w:cstheme="minorHAnsi"/>
            <w:sz w:val="18"/>
            <w:szCs w:val="18"/>
            <w:lang w:val="en-US"/>
          </w:rPr>
          <w:t>https://www.asylumineurope.org/reports/country/poland</w:t>
        </w:r>
      </w:hyperlink>
      <w:r w:rsidRPr="00FF10AE">
        <w:rPr>
          <w:rFonts w:asciiTheme="minorHAnsi" w:hAnsiTheme="minorHAnsi" w:cstheme="minorHAnsi"/>
          <w:sz w:val="18"/>
          <w:szCs w:val="18"/>
          <w:lang w:val="en-US"/>
        </w:rPr>
        <w:t xml:space="preserve"> (forthcoming 2020 update).</w:t>
      </w:r>
    </w:p>
  </w:footnote>
  <w:footnote w:id="52">
    <w:p w14:paraId="66399527"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53">
    <w:p w14:paraId="4A1BDC5F"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54">
    <w:p w14:paraId="29E2153C"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55">
    <w:p w14:paraId="615567C6"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56">
    <w:p w14:paraId="247B13FD"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57">
    <w:p w14:paraId="20BA8A75"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58">
    <w:p w14:paraId="2F5E712A"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59">
    <w:p w14:paraId="552816BF"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60">
    <w:p w14:paraId="7DFD89F4"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 w:id="61">
    <w:p w14:paraId="02A25D6A" w14:textId="77777777" w:rsidR="001A0A33" w:rsidRPr="00FF10AE" w:rsidRDefault="00CF13F8" w:rsidP="00FF10AE">
      <w:pPr>
        <w:pStyle w:val="FootnoteText"/>
        <w:jc w:val="both"/>
        <w:rPr>
          <w:rFonts w:asciiTheme="minorHAnsi" w:hAnsiTheme="minorHAnsi" w:cstheme="minorHAnsi"/>
          <w:sz w:val="18"/>
          <w:szCs w:val="18"/>
          <w:lang w:val="en-US"/>
        </w:rPr>
      </w:pPr>
      <w:r w:rsidRPr="00FF10AE">
        <w:rPr>
          <w:rStyle w:val="Znakiprzypiswdolnych"/>
          <w:rFonts w:asciiTheme="minorHAnsi" w:hAnsiTheme="minorHAnsi" w:cstheme="minorHAnsi"/>
          <w:sz w:val="18"/>
          <w:szCs w:val="18"/>
        </w:rPr>
        <w:footnoteRef/>
      </w:r>
      <w:r w:rsidRPr="00FF10AE">
        <w:rPr>
          <w:rFonts w:asciiTheme="minorHAnsi" w:hAnsiTheme="minorHAnsi" w:cstheme="minorHAnsi"/>
          <w:sz w:val="18"/>
          <w:szCs w:val="18"/>
          <w:lang w:val="en-US"/>
        </w:rPr>
        <w:t xml:space="preserve"> </w:t>
      </w:r>
      <w:r w:rsidRPr="00FF10AE">
        <w:rPr>
          <w:rFonts w:asciiTheme="minorHAnsi" w:hAnsiTheme="minorHAnsi" w:cstheme="minorHAnsi"/>
          <w:i/>
          <w:sz w:val="18"/>
          <w:szCs w:val="18"/>
          <w:lang w:val="en-US"/>
        </w:rPr>
        <w:t>Ibidem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97101"/>
    <w:multiLevelType w:val="multilevel"/>
    <w:tmpl w:val="035C27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6C0B91"/>
    <w:multiLevelType w:val="multilevel"/>
    <w:tmpl w:val="C0840276"/>
    <w:lvl w:ilvl="0">
      <w:start w:val="1"/>
      <w:numFmt w:val="decimal"/>
      <w:lvlText w:val="%1."/>
      <w:lvlJc w:val="left"/>
      <w:pPr>
        <w:tabs>
          <w:tab w:val="num" w:pos="0"/>
        </w:tabs>
        <w:ind w:left="720" w:hanging="360"/>
      </w:pPr>
      <w:rPr>
        <w:rFonts w:ascii="Arial" w:eastAsia="Arial" w:hAnsi="Arial" w:cs="Arial"/>
        <w:b/>
        <w:color w:val="333399"/>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3600A47"/>
    <w:multiLevelType w:val="multilevel"/>
    <w:tmpl w:val="FEE073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9E1059B"/>
    <w:multiLevelType w:val="multilevel"/>
    <w:tmpl w:val="5500715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sTCyMDEwMjc2NjFX0lEKTi0uzszPAykwrAUA2C5LwCwAAAA="/>
  </w:docVars>
  <w:rsids>
    <w:rsidRoot w:val="001A0A33"/>
    <w:rsid w:val="000C70D1"/>
    <w:rsid w:val="00106325"/>
    <w:rsid w:val="0014307C"/>
    <w:rsid w:val="001A0A33"/>
    <w:rsid w:val="001A52B6"/>
    <w:rsid w:val="00343A8C"/>
    <w:rsid w:val="003614DD"/>
    <w:rsid w:val="00363D80"/>
    <w:rsid w:val="00395BE1"/>
    <w:rsid w:val="00551466"/>
    <w:rsid w:val="00585AF6"/>
    <w:rsid w:val="00660E40"/>
    <w:rsid w:val="00667BFE"/>
    <w:rsid w:val="00720FAA"/>
    <w:rsid w:val="007B26AC"/>
    <w:rsid w:val="009324EA"/>
    <w:rsid w:val="0094435E"/>
    <w:rsid w:val="009C2ED3"/>
    <w:rsid w:val="00B60B06"/>
    <w:rsid w:val="00CA7CD2"/>
    <w:rsid w:val="00CF13F8"/>
    <w:rsid w:val="00DF1446"/>
    <w:rsid w:val="00DF1EAE"/>
    <w:rsid w:val="00E43B64"/>
    <w:rsid w:val="00EC455A"/>
    <w:rsid w:val="00F76864"/>
    <w:rsid w:val="00F868C6"/>
    <w:rsid w:val="00FF10A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644D"/>
  <w15:docId w15:val="{7DA10246-BFF5-4D3C-AAB6-89335C79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586F0D"/>
    <w:pPr>
      <w:widowControl w:val="0"/>
      <w:spacing w:after="0" w:line="240" w:lineRule="auto"/>
      <w:ind w:left="235"/>
      <w:outlineLvl w:val="0"/>
    </w:pPr>
    <w:rPr>
      <w:rFonts w:ascii="Arial Unicode MS" w:eastAsia="Arial Unicode MS" w:hAnsi="Arial Unicode MS" w:cs="Arial Unicode MS"/>
      <w:sz w:val="30"/>
      <w:szCs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semiHidden/>
    <w:qFormat/>
    <w:rsid w:val="00586F0D"/>
  </w:style>
  <w:style w:type="character" w:customStyle="1" w:styleId="czeinternetowe">
    <w:name w:val="Łącze internetowe"/>
    <w:basedOn w:val="DefaultParagraphFont"/>
    <w:uiPriority w:val="99"/>
    <w:unhideWhenUsed/>
    <w:rsid w:val="00586F0D"/>
    <w:rPr>
      <w:color w:val="0563C1" w:themeColor="hyperlink"/>
      <w:u w:val="single"/>
    </w:rPr>
  </w:style>
  <w:style w:type="character" w:customStyle="1" w:styleId="UnresolvedMention1">
    <w:name w:val="Unresolved Mention1"/>
    <w:basedOn w:val="DefaultParagraphFont"/>
    <w:uiPriority w:val="99"/>
    <w:semiHidden/>
    <w:unhideWhenUsed/>
    <w:qFormat/>
    <w:rsid w:val="00586F0D"/>
    <w:rPr>
      <w:color w:val="605E5C"/>
      <w:shd w:val="clear" w:color="auto" w:fill="E1DFDD"/>
    </w:rPr>
  </w:style>
  <w:style w:type="character" w:customStyle="1" w:styleId="Heading1Char">
    <w:name w:val="Heading 1 Char"/>
    <w:basedOn w:val="DefaultParagraphFont"/>
    <w:link w:val="Heading1"/>
    <w:uiPriority w:val="9"/>
    <w:qFormat/>
    <w:rsid w:val="00586F0D"/>
    <w:rPr>
      <w:rFonts w:ascii="Arial Unicode MS" w:eastAsia="Arial Unicode MS" w:hAnsi="Arial Unicode MS" w:cs="Arial Unicode MS"/>
      <w:sz w:val="30"/>
      <w:szCs w:val="30"/>
      <w:lang w:val="en-US"/>
    </w:rPr>
  </w:style>
  <w:style w:type="character" w:customStyle="1" w:styleId="FootnoteTextChar">
    <w:name w:val="Footnote Text Char"/>
    <w:basedOn w:val="DefaultParagraphFont"/>
    <w:link w:val="FootnoteText"/>
    <w:uiPriority w:val="99"/>
    <w:qFormat/>
    <w:rsid w:val="00A302EF"/>
    <w:rPr>
      <w:rFonts w:ascii="Calibri" w:eastAsia="Calibri" w:hAnsi="Calibri"/>
    </w:rPr>
  </w:style>
  <w:style w:type="character" w:customStyle="1" w:styleId="TekstprzypisudolnegoZnak1">
    <w:name w:val="Tekst przypisu dolnego Znak1"/>
    <w:basedOn w:val="DefaultParagraphFont"/>
    <w:uiPriority w:val="99"/>
    <w:semiHidden/>
    <w:qFormat/>
    <w:rsid w:val="00A302EF"/>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efaultParagraphFont"/>
    <w:uiPriority w:val="99"/>
    <w:qFormat/>
    <w:rsid w:val="00A302EF"/>
    <w:rPr>
      <w:vertAlign w:val="superscript"/>
    </w:rPr>
  </w:style>
  <w:style w:type="character" w:styleId="Strong">
    <w:name w:val="Strong"/>
    <w:basedOn w:val="DefaultParagraphFont"/>
    <w:uiPriority w:val="22"/>
    <w:qFormat/>
    <w:rsid w:val="00A63A51"/>
    <w:rPr>
      <w:b/>
      <w:bCs/>
    </w:rPr>
  </w:style>
  <w:style w:type="character" w:customStyle="1" w:styleId="tlid-translation">
    <w:name w:val="tlid-translation"/>
    <w:basedOn w:val="DefaultParagraphFont"/>
    <w:qFormat/>
    <w:rsid w:val="00A63A51"/>
  </w:style>
  <w:style w:type="character" w:customStyle="1" w:styleId="shorttext">
    <w:name w:val="short_text"/>
    <w:qFormat/>
    <w:rsid w:val="001B1370"/>
  </w:style>
  <w:style w:type="character" w:customStyle="1" w:styleId="Odwiedzoneczeinternetowe">
    <w:name w:val="Odwiedzone łącze internetowe"/>
    <w:basedOn w:val="DefaultParagraphFont"/>
    <w:uiPriority w:val="99"/>
    <w:semiHidden/>
    <w:unhideWhenUsed/>
    <w:rsid w:val="008E17EA"/>
    <w:rPr>
      <w:color w:val="954F72" w:themeColor="followedHyperlink"/>
      <w:u w:val="single"/>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Header">
    <w:name w:val="header"/>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semiHidden/>
    <w:unhideWhenUsed/>
    <w:rsid w:val="00586F0D"/>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styleId="NoSpacing">
    <w:name w:val="No Spacing"/>
    <w:uiPriority w:val="1"/>
    <w:qFormat/>
    <w:rsid w:val="00586F0D"/>
  </w:style>
  <w:style w:type="paragraph" w:styleId="ListParagraph">
    <w:name w:val="List Paragraph"/>
    <w:basedOn w:val="Normal"/>
    <w:uiPriority w:val="1"/>
    <w:qFormat/>
    <w:rsid w:val="00586F0D"/>
    <w:pPr>
      <w:widowControl w:val="0"/>
      <w:spacing w:after="0" w:line="240" w:lineRule="auto"/>
      <w:ind w:left="235"/>
    </w:pPr>
    <w:rPr>
      <w:rFonts w:ascii="Arial" w:eastAsia="Arial" w:hAnsi="Arial" w:cs="Arial"/>
      <w:lang w:val="en-US"/>
    </w:rPr>
  </w:style>
  <w:style w:type="paragraph" w:styleId="FootnoteText">
    <w:name w:val="footnote text"/>
    <w:basedOn w:val="Normal"/>
    <w:link w:val="FootnoteTextChar"/>
    <w:uiPriority w:val="99"/>
    <w:unhideWhenUsed/>
    <w:qFormat/>
    <w:rsid w:val="00A302EF"/>
    <w:pPr>
      <w:spacing w:after="0" w:line="240" w:lineRule="auto"/>
      <w:textAlignment w:val="baseline"/>
    </w:pPr>
    <w:rPr>
      <w:rFonts w:ascii="Calibri" w:eastAsia="Calibri" w:hAnsi="Calibri"/>
    </w:rPr>
  </w:style>
  <w:style w:type="character" w:styleId="Hyperlink">
    <w:name w:val="Hyperlink"/>
    <w:basedOn w:val="DefaultParagraphFont"/>
    <w:uiPriority w:val="99"/>
    <w:unhideWhenUsed/>
    <w:rsid w:val="00F868C6"/>
    <w:rPr>
      <w:color w:val="0000FF"/>
      <w:u w:val="single"/>
    </w:rPr>
  </w:style>
  <w:style w:type="paragraph" w:styleId="BalloonText">
    <w:name w:val="Balloon Text"/>
    <w:basedOn w:val="Normal"/>
    <w:link w:val="BalloonTextChar"/>
    <w:uiPriority w:val="99"/>
    <w:semiHidden/>
    <w:unhideWhenUsed/>
    <w:rsid w:val="00395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E1"/>
    <w:rPr>
      <w:rFonts w:ascii="Segoe UI" w:hAnsi="Segoe UI" w:cs="Segoe UI"/>
      <w:sz w:val="18"/>
      <w:szCs w:val="18"/>
    </w:rPr>
  </w:style>
  <w:style w:type="character" w:styleId="FootnoteReference">
    <w:name w:val="footnote reference"/>
    <w:basedOn w:val="DefaultParagraphFont"/>
    <w:uiPriority w:val="99"/>
    <w:semiHidden/>
    <w:unhideWhenUsed/>
    <w:qFormat/>
    <w:rsid w:val="005514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hudoc.echr.coe.int/eng?i=001-182210" TargetMode="External"/><Relationship Id="rId18" Type="http://schemas.openxmlformats.org/officeDocument/2006/relationships/hyperlink" Target="https://www.hfhr.pl/wp-content/uploads/2019/04/Dost%C4%99p-do-procedury-azylowej-v2.pdf" TargetMode="External"/><Relationship Id="rId26" Type="http://schemas.openxmlformats.org/officeDocument/2006/relationships/hyperlink" Target="http://www.sejm.gov.pl/sejm9.nsf/InterpelacjaTresc.xsp?key=BT8J9B" TargetMode="External"/><Relationship Id="rId21" Type="http://schemas.openxmlformats.org/officeDocument/2006/relationships/hyperlink" Target="https://udsc.gov.pl/en/suspension-of-direct-customer-servi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udoc.echr.coe.int/eng?i=001-202693" TargetMode="External"/><Relationship Id="rId17" Type="http://schemas.openxmlformats.org/officeDocument/2006/relationships/hyperlink" Target="https://www.hfhr.pl/kolejna-sprawa-odmowy-wjazdu-dla-uchodzcow-zakomunikowana-polskiemu-rzadowi-przez-etpc/" TargetMode="External"/><Relationship Id="rId25" Type="http://schemas.openxmlformats.org/officeDocument/2006/relationships/hyperlink" Target="https://udsc.gov.pl/wp-content/uploads/2014/12/biul_2006_2008_pol.xls" TargetMode="External"/><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hudoc.echr.coe.int/eng?i=001-207441" TargetMode="External"/><Relationship Id="rId20" Type="http://schemas.openxmlformats.org/officeDocument/2006/relationships/hyperlink" Target="https://www.rpo.gov.pl/pl/content/sytuacja-migrantow-pandemii-stanowisko-rpo-i-komisji-ekspertow-ds-migrantow" TargetMode="External"/><Relationship Id="rId29" Type="http://schemas.openxmlformats.org/officeDocument/2006/relationships/hyperlink" Target="https://www.strazgraniczna.pl/pl/granica/statystyki-sg/2206,Statystyki-S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eng?i=001-201895" TargetMode="External"/><Relationship Id="rId24" Type="http://schemas.openxmlformats.org/officeDocument/2006/relationships/hyperlink" Target="https://udsc.gov.pl/wp-content/uploads/2014/12/442266f618809_dane_2003_2005.zip" TargetMode="External"/><Relationship Id="rId32" Type="http://schemas.openxmlformats.org/officeDocument/2006/relationships/hyperlink" Target="https://www.easo.europa.eu/legal"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hudoc.echr.coe.int/eng?i=001-177298" TargetMode="External"/><Relationship Id="rId23" Type="http://schemas.openxmlformats.org/officeDocument/2006/relationships/hyperlink" Target="https://udsc.gov.pl/wp-content/uploads/2014/12/4097756888bac_polski.zip" TargetMode="External"/><Relationship Id="rId28" Type="http://schemas.openxmlformats.org/officeDocument/2006/relationships/hyperlink" Target="https://www.strazgraniczna.pl/pl/granica/statystyki-sg/2206,Statystyki-SG.html" TargetMode="External"/><Relationship Id="rId36" Type="http://schemas.openxmlformats.org/officeDocument/2006/relationships/customXml" Target="../customXml/item3.xml"/><Relationship Id="rId10" Type="http://schemas.openxmlformats.org/officeDocument/2006/relationships/hyperlink" Target="https://caselaw.easo.europa.eu/Pages/default.aspx" TargetMode="External"/><Relationship Id="rId19" Type="http://schemas.openxmlformats.org/officeDocument/2006/relationships/hyperlink" Target="https://informator.ora-warszawa.com.pl/2018/numer-e382018/projekt-adwokacinagranicy-zakonczyl-sie-sukcesem/" TargetMode="External"/><Relationship Id="rId31" Type="http://schemas.openxmlformats.org/officeDocument/2006/relationships/hyperlink" Target="https://www.asylumineurope.org/reports/country/poland" TargetMode="External"/><Relationship Id="rId4" Type="http://schemas.openxmlformats.org/officeDocument/2006/relationships/settings" Target="settings.xml"/><Relationship Id="rId9" Type="http://schemas.openxmlformats.org/officeDocument/2006/relationships/hyperlink" Target="https://easo.europa.eu/asylum-report-2020" TargetMode="External"/><Relationship Id="rId14" Type="http://schemas.openxmlformats.org/officeDocument/2006/relationships/hyperlink" Target="http://hudoc.echr.coe.int/eng?i=001-203840" TargetMode="External"/><Relationship Id="rId22" Type="http://schemas.openxmlformats.org/officeDocument/2006/relationships/hyperlink" Target="https://udsc.gov.pl/wp-content/uploads/2014/12/41206412b98bd_nsuch_gotowe.xls" TargetMode="External"/><Relationship Id="rId27" Type="http://schemas.openxmlformats.org/officeDocument/2006/relationships/hyperlink" Target="https://www.hfhr.pl/wp-content/uploads/2020/03/Wyst&#261;pienie-NGOs-do-MSWiA-2020.03.26.pdf" TargetMode="External"/><Relationship Id="rId30" Type="http://schemas.openxmlformats.org/officeDocument/2006/relationships/hyperlink" Target="http://appsso.eurostat.ec.europa.eu/nui/show.do?dataset=migr_asyappctza&amp;lang=en" TargetMode="External"/><Relationship Id="rId35" Type="http://schemas.openxmlformats.org/officeDocument/2006/relationships/customXml" Target="../customXml/item2.xml"/><Relationship Id="rId8" Type="http://schemas.openxmlformats.org/officeDocument/2006/relationships/hyperlink" Target="https://www.easo.europa.eu/asylum-report"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rpo.gov.pl/pl/content/sytuacja-migrantow-pandemii-stanowisko-rpo-i-komisji-ekspertow-ds-migrantow" TargetMode="External"/><Relationship Id="rId13" Type="http://schemas.openxmlformats.org/officeDocument/2006/relationships/hyperlink" Target="https://udsc.gov.pl/wp-content/uploads/2014/12/442266f618809_dane_2003_2005.zip" TargetMode="External"/><Relationship Id="rId18" Type="http://schemas.openxmlformats.org/officeDocument/2006/relationships/hyperlink" Target="http://www.sejm.gov.pl/sejm9.nsf/InterpelacjaTresc.xsp?key=BT8J9B" TargetMode="External"/><Relationship Id="rId26" Type="http://schemas.openxmlformats.org/officeDocument/2006/relationships/hyperlink" Target="https://www.asylumineurope.org/reports/country/poland" TargetMode="External"/><Relationship Id="rId3" Type="http://schemas.openxmlformats.org/officeDocument/2006/relationships/hyperlink" Target="http://hudoc.echr.coe.int/eng?i=001-177298" TargetMode="External"/><Relationship Id="rId21" Type="http://schemas.openxmlformats.org/officeDocument/2006/relationships/hyperlink" Target="https://www.asylumineurope.org/reports/country/poland" TargetMode="External"/><Relationship Id="rId7" Type="http://schemas.openxmlformats.org/officeDocument/2006/relationships/hyperlink" Target="https://www.strazgraniczna.pl/pl/granica/statystyki-sg/2206,Statystyki-SG.html" TargetMode="External"/><Relationship Id="rId12" Type="http://schemas.openxmlformats.org/officeDocument/2006/relationships/hyperlink" Target="https://udsc.gov.pl/wp-content/uploads/2014/12/4097756888bac_polski.zip" TargetMode="External"/><Relationship Id="rId17" Type="http://schemas.openxmlformats.org/officeDocument/2006/relationships/hyperlink" Target="http://hudoc.echr.coe.int/eng?i=001-203840" TargetMode="External"/><Relationship Id="rId25" Type="http://schemas.openxmlformats.org/officeDocument/2006/relationships/hyperlink" Target="https://archiwumbip.mswia.gov.pl/download/4/24848/Uwagi-HFPC.pdf" TargetMode="External"/><Relationship Id="rId2" Type="http://schemas.openxmlformats.org/officeDocument/2006/relationships/hyperlink" Target="https://informator.ora-warszawa.com.pl/2018/numer-e382018/projekt-adwokacinagranicy-zakonczyl-sie-sukcesem/" TargetMode="External"/><Relationship Id="rId16" Type="http://schemas.openxmlformats.org/officeDocument/2006/relationships/hyperlink" Target="https://www.asylumineurope.org/reports/country/poland" TargetMode="External"/><Relationship Id="rId20" Type="http://schemas.openxmlformats.org/officeDocument/2006/relationships/hyperlink" Target="http://www.sejm.gov.pl/sejm9.nsf/InterpelacjaTresc.xsp?key=BT8J9B" TargetMode="External"/><Relationship Id="rId29" Type="http://schemas.openxmlformats.org/officeDocument/2006/relationships/hyperlink" Target="http://hudoc.echr.coe.int/eng?i=001-182210" TargetMode="External"/><Relationship Id="rId1" Type="http://schemas.openxmlformats.org/officeDocument/2006/relationships/hyperlink" Target="http://hudoc.echr.coe.int/eng?i=001-203840" TargetMode="External"/><Relationship Id="rId6" Type="http://schemas.openxmlformats.org/officeDocument/2006/relationships/hyperlink" Target="https://udsc.gov.pl/en/suspension-of-direct-customer-service/" TargetMode="External"/><Relationship Id="rId11" Type="http://schemas.openxmlformats.org/officeDocument/2006/relationships/hyperlink" Target="https://udsc.gov.pl/wp-content/uploads/2014/12/41206412b98bd_nsuch_gotowe.xls" TargetMode="External"/><Relationship Id="rId24" Type="http://schemas.openxmlformats.org/officeDocument/2006/relationships/hyperlink" Target="https://www.hfhr.pl/wp-content/uploads/2014/12/HFPC_w_poszukiwaniu_ochrony.pdf" TargetMode="External"/><Relationship Id="rId5" Type="http://schemas.openxmlformats.org/officeDocument/2006/relationships/hyperlink" Target="https://www.hfhr.pl/kolejna-sprawa-odmowy-wjazdu-dla-uchodzcow-zakomunikowana-polskiemu-rzadowi-przez-etpc/" TargetMode="External"/><Relationship Id="rId15" Type="http://schemas.openxmlformats.org/officeDocument/2006/relationships/hyperlink" Target="http://appsso.eurostat.ec.europa.eu/nui/show.do?dataset=migr_asyappctza&amp;lang=en" TargetMode="External"/><Relationship Id="rId23" Type="http://schemas.openxmlformats.org/officeDocument/2006/relationships/hyperlink" Target="https://www.asylumineurope.org/reports/country/poland" TargetMode="External"/><Relationship Id="rId28" Type="http://schemas.openxmlformats.org/officeDocument/2006/relationships/hyperlink" Target="http://hudoc.echr.coe.int/eng?i=001-202693" TargetMode="External"/><Relationship Id="rId10" Type="http://schemas.openxmlformats.org/officeDocument/2006/relationships/hyperlink" Target="https://www.hfhr.pl/wp-content/uploads/2020/03/Wyst&#261;pienie-NGOs-do-MSWiA-2020.03.26.pdf" TargetMode="External"/><Relationship Id="rId19" Type="http://schemas.openxmlformats.org/officeDocument/2006/relationships/hyperlink" Target="https://informator.ora-warszawa.com.pl/2018/numer-e382018/projekt-adwokacinagranicy-zakonczyl-sie-sukcesem/" TargetMode="External"/><Relationship Id="rId31" Type="http://schemas.openxmlformats.org/officeDocument/2006/relationships/hyperlink" Target="https://www.asylumineurope.org/reports/country/poland" TargetMode="External"/><Relationship Id="rId4" Type="http://schemas.openxmlformats.org/officeDocument/2006/relationships/hyperlink" Target="http://hudoc.echr.coe.int/eng?i=001-207441" TargetMode="External"/><Relationship Id="rId9" Type="http://schemas.openxmlformats.org/officeDocument/2006/relationships/hyperlink" Target="https://www.strazgraniczna.pl/pl/granica/statystyki-sg/2206,Statystyki-SG.html" TargetMode="External"/><Relationship Id="rId14" Type="http://schemas.openxmlformats.org/officeDocument/2006/relationships/hyperlink" Target="https://udsc.gov.pl/wp-content/uploads/2014/12/biul_2006_2008_pol.xls" TargetMode="External"/><Relationship Id="rId22" Type="http://schemas.openxmlformats.org/officeDocument/2006/relationships/hyperlink" Target="https://www.asylumineurope.org/reports/country/poland" TargetMode="External"/><Relationship Id="rId27" Type="http://schemas.openxmlformats.org/officeDocument/2006/relationships/hyperlink" Target="http://hudoc.echr.coe.int/eng?i=001-201895" TargetMode="External"/><Relationship Id="rId30" Type="http://schemas.openxmlformats.org/officeDocument/2006/relationships/hyperlink" Target="https://facebook.com/permalink.php?story_fbid=1331330067067275&amp;id=174498936083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ASO Document" ma:contentTypeID="0x010100627147F146C0AB4C96FB1263775BA7FD00DDFF37C7EABDB94697A977C3E7CFC8F2" ma:contentTypeVersion="23" ma:contentTypeDescription="" ma:contentTypeScope="" ma:versionID="a39a00d2af17b8ae8a0ae97d64c04d42">
  <xsd:schema xmlns:xsd="http://www.w3.org/2001/XMLSchema" xmlns:xs="http://www.w3.org/2001/XMLSchema" xmlns:p="http://schemas.microsoft.com/office/2006/metadata/properties" xmlns:ns2="a1af3d24-2c00-4fff-b753-464d92bed99a" xmlns:ns3="c1c9cb1c-19b8-4996-ad50-e0f4a4c9c432" targetNamespace="http://schemas.microsoft.com/office/2006/metadata/properties" ma:root="true" ma:fieldsID="34aec552e6a576196b14dfcd3a7538d0" ns2:_="" ns3:_="">
    <xsd:import namespace="a1af3d24-2c00-4fff-b753-464d92bed99a"/>
    <xsd:import namespace="c1c9cb1c-19b8-4996-ad50-e0f4a4c9c432"/>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b449eb92237c479dbb476bba4132e4d0" minOccurs="0"/>
                <xsd:element ref="ns2:o7284467db3d4acd87ce2ae955c53c3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fbf315e-f9e4-4b9b-8124-c5ad25a0d725}"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fbf315e-f9e4-4b9b-8124-c5ad25a0d72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b449eb92237c479dbb476bba4132e4d0" ma:index="15"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7"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c9cb1c-19b8-4996-ad50-e0f4a4c9c43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Information, analysis and knowledge development:Information ＆ documentation system</TermName>
          <TermId xmlns="http://schemas.microsoft.com/office/infopath/2007/PartnerControls">ce161fd0-8c0d-48c4-8073-07b8cadaebd1</TermId>
        </TermInfo>
      </Terms>
    </o8afd3c3b2c14229af30eb97d0576c14>
    <TaxCatchAll xmlns="a1af3d24-2c00-4fff-b753-464d92bed99a">
      <Value>3</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false</_dlc_DocIdPersistId>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EASO2021-23779149-68577</_dlc_DocId>
    <_dlc_DocIdUrl xmlns="a1af3d24-2c00-4fff-b753-464d92bed99a">
      <Url>https://easo.sharepoint.com/sites/sa/_layouts/15/DocIdRedir.aspx?ID=EASO2021-23779149-68577</Url>
      <Description>EASO2021-23779149-68577</Description>
    </_dlc_DocIdUrl>
  </documentManagement>
</p:properties>
</file>

<file path=customXml/itemProps1.xml><?xml version="1.0" encoding="utf-8"?>
<ds:datastoreItem xmlns:ds="http://schemas.openxmlformats.org/officeDocument/2006/customXml" ds:itemID="{9CB40DB4-2A11-4EE0-B7BA-57A0BB996C83}">
  <ds:schemaRefs>
    <ds:schemaRef ds:uri="http://schemas.openxmlformats.org/officeDocument/2006/bibliography"/>
  </ds:schemaRefs>
</ds:datastoreItem>
</file>

<file path=customXml/itemProps2.xml><?xml version="1.0" encoding="utf-8"?>
<ds:datastoreItem xmlns:ds="http://schemas.openxmlformats.org/officeDocument/2006/customXml" ds:itemID="{834E216A-E04C-407D-9F5A-F654A832950D}"/>
</file>

<file path=customXml/itemProps3.xml><?xml version="1.0" encoding="utf-8"?>
<ds:datastoreItem xmlns:ds="http://schemas.openxmlformats.org/officeDocument/2006/customXml" ds:itemID="{A450D541-E584-4A7D-965E-05C361FCE238}"/>
</file>

<file path=customXml/itemProps4.xml><?xml version="1.0" encoding="utf-8"?>
<ds:datastoreItem xmlns:ds="http://schemas.openxmlformats.org/officeDocument/2006/customXml" ds:itemID="{9FDA8D67-5348-489C-A5D2-CB7CE807985F}"/>
</file>

<file path=customXml/itemProps5.xml><?xml version="1.0" encoding="utf-8"?>
<ds:datastoreItem xmlns:ds="http://schemas.openxmlformats.org/officeDocument/2006/customXml" ds:itemID="{C9BDFABB-144B-43E4-BA36-62DB150FBB56}"/>
</file>

<file path=docProps/app.xml><?xml version="1.0" encoding="utf-8"?>
<Properties xmlns="http://schemas.openxmlformats.org/officeDocument/2006/extended-properties" xmlns:vt="http://schemas.openxmlformats.org/officeDocument/2006/docPropsVTypes">
  <Template>Normal</Template>
  <TotalTime>1</TotalTime>
  <Pages>12</Pages>
  <Words>4657</Words>
  <Characters>26550</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European Asylum Support Office</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Gatsias, Athanasios</dc:creator>
  <cp:keywords/>
  <dc:description/>
  <cp:lastModifiedBy>Gatsias, Athanasios</cp:lastModifiedBy>
  <cp:revision>2</cp:revision>
  <dcterms:created xsi:type="dcterms:W3CDTF">2021-02-26T13:36:00Z</dcterms:created>
  <dcterms:modified xsi:type="dcterms:W3CDTF">2021-02-26T13:36:00Z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0x010100627147F146C0AB4C96FB1263775BA7FD00DDFF37C7EABDB94697A977C3E7CFC8F2</vt:lpwstr>
  </property>
  <property fmtid="{D5CDD505-2E9C-101B-9397-08002B2CF9AE}" pid="3" name="easoBusinessClassification">
    <vt:lpwstr>3;#Information, analysis and knowledge development:Information ＆ documentation system|ce161fd0-8c0d-48c4-8073-07b8cadaebd1</vt:lpwstr>
  </property>
  <property fmtid="{D5CDD505-2E9C-101B-9397-08002B2CF9AE}" pid="4" name="easoSecurityClassification">
    <vt:lpwstr>1;#Internal|d0063956-0b9b-4740-b4be-2689507f2aae</vt:lpwstr>
  </property>
  <property fmtid="{D5CDD505-2E9C-101B-9397-08002B2CF9AE}" pid="5" name="easoDocumentLanguage">
    <vt:lpwstr>2;#English|532fa66a-4cdf-4129-bab9-a1f47b418755</vt:lpwstr>
  </property>
  <property fmtid="{D5CDD505-2E9C-101B-9397-08002B2CF9AE}" pid="6" name="_dlc_DocIdItemGuid">
    <vt:lpwstr>0c872160-cac7-4861-b8f4-ecae1dde4e35</vt:lpwstr>
  </property>
  <property fmtid="{D5CDD505-2E9C-101B-9397-08002B2CF9AE}" pid="7" name="easoSeries1">
    <vt:lpwstr/>
  </property>
  <property fmtid="{D5CDD505-2E9C-101B-9397-08002B2CF9AE}" pid="8" name="Order">
    <vt:r8>6849300</vt:r8>
  </property>
  <property fmtid="{D5CDD505-2E9C-101B-9397-08002B2CF9AE}" pid="9" name="p96fb03dbcf94747b8ec018a65a2d03d">
    <vt:lpwstr/>
  </property>
  <property fmtid="{D5CDD505-2E9C-101B-9397-08002B2CF9AE}" pid="10" name="AlternateThumbnailUrl">
    <vt:lpwstr/>
  </property>
  <property fmtid="{D5CDD505-2E9C-101B-9397-08002B2CF9AE}" pid="11" name="URL">
    <vt:lpwstr/>
  </property>
  <property fmtid="{D5CDD505-2E9C-101B-9397-08002B2CF9AE}" pid="12" name="xd_Signature">
    <vt:bool>false</vt:bool>
  </property>
  <property fmtid="{D5CDD505-2E9C-101B-9397-08002B2CF9AE}" pid="13" name="DocumentSetDescription">
    <vt:lpwstr>This is the input we received from CSOs through the EU Survey Form</vt:lpwstr>
  </property>
  <property fmtid="{D5CDD505-2E9C-101B-9397-08002B2CF9AE}" pid="14" name="xd_ProgID">
    <vt:lpwstr/>
  </property>
  <property fmtid="{D5CDD505-2E9C-101B-9397-08002B2CF9AE}" pid="15" name="easoDocumentCoverage">
    <vt:lpwstr/>
  </property>
  <property fmtid="{D5CDD505-2E9C-101B-9397-08002B2CF9AE}" pid="16" name="_SourceUrl">
    <vt:lpwstr/>
  </property>
  <property fmtid="{D5CDD505-2E9C-101B-9397-08002B2CF9AE}" pid="17" name="_SharedFileIndex">
    <vt:lpwstr/>
  </property>
  <property fmtid="{D5CDD505-2E9C-101B-9397-08002B2CF9AE}" pid="18" name="_Publisher">
    <vt:lpwstr/>
  </property>
  <property fmtid="{D5CDD505-2E9C-101B-9397-08002B2CF9AE}" pid="19" name="ComplianceAssetId">
    <vt:lpwstr/>
  </property>
  <property fmtid="{D5CDD505-2E9C-101B-9397-08002B2CF9AE}" pid="20" name="TemplateUrl">
    <vt:lpwstr/>
  </property>
  <property fmtid="{D5CDD505-2E9C-101B-9397-08002B2CF9AE}" pid="21" name="easoResponsible">
    <vt:lpwstr/>
  </property>
  <property fmtid="{D5CDD505-2E9C-101B-9397-08002B2CF9AE}" pid="22" name="vti_imgdate">
    <vt:lpwstr/>
  </property>
  <property fmtid="{D5CDD505-2E9C-101B-9397-08002B2CF9AE}" pid="24" name="_ExtendedDescription">
    <vt:lpwstr/>
  </property>
  <property fmtid="{D5CDD505-2E9C-101B-9397-08002B2CF9AE}" pid="25" name="easoISBNISNN1">
    <vt:lpwstr/>
  </property>
  <property fmtid="{D5CDD505-2E9C-101B-9397-08002B2CF9AE}" pid="26" name="Comments">
    <vt:lpwstr/>
  </property>
</Properties>
</file>